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07" w:rsidRPr="00093907" w:rsidRDefault="00093907" w:rsidP="00093907">
      <w:pPr>
        <w:pStyle w:val="a4"/>
        <w:rPr>
          <w:rFonts w:ascii="Times New Roman" w:hAnsi="Times New Roman" w:cs="Times New Roman"/>
          <w:sz w:val="24"/>
          <w:szCs w:val="24"/>
        </w:rPr>
      </w:pPr>
    </w:p>
    <w:p w:rsidR="00093907" w:rsidRPr="00093907" w:rsidRDefault="00093907" w:rsidP="00093907">
      <w:pPr>
        <w:jc w:val="right"/>
      </w:pPr>
      <w:r w:rsidRPr="00093907">
        <w:t>ПРОКУРАТУРА РАЗЪЯСНЯЕТ</w:t>
      </w:r>
    </w:p>
    <w:p w:rsidR="00093907" w:rsidRPr="00093907" w:rsidRDefault="00093907" w:rsidP="00093907">
      <w:pPr>
        <w:jc w:val="right"/>
      </w:pPr>
    </w:p>
    <w:p w:rsidR="00093907" w:rsidRPr="00093907" w:rsidRDefault="00093907" w:rsidP="00093907">
      <w:pPr>
        <w:spacing w:before="100" w:beforeAutospacing="1" w:after="100" w:afterAutospacing="1"/>
        <w:jc w:val="center"/>
        <w:rPr>
          <w:b/>
          <w:color w:val="000000"/>
        </w:rPr>
      </w:pPr>
      <w:r w:rsidRPr="00093907">
        <w:rPr>
          <w:b/>
          <w:color w:val="000000"/>
        </w:rPr>
        <w:t>ТЕХНИЧЕСКИЕ СРЕДСТВА ДЛЯ ИНВАЛИДОВ</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В соответствии со ст. 10 Федерального закона от 24.11.1995 N 181-ФЗ «О социальной защите инвалидов в Российской Федерации» 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В настоящее время действует федеральный перечень реабилитационных мероприятий, технических средств реабилитации и услуг, предоставляемых инвалиду, утвержденный Распоряжением Правительства РФ от 30.12.2005 N 2347-р.</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Распоряжением Правительства РФ от 21.12.2019 N 3107-р, вступившим в законную силу 21.12.2019 года, в федеральный перечень реабилитационных мероприятий, технических средств реабилитации и услуг, предоставляемых инвалиду, включены аккумуляторные батареи к креслам-коляскам.</w:t>
      </w:r>
    </w:p>
    <w:p w:rsidR="00093907" w:rsidRPr="00093907" w:rsidRDefault="00093907" w:rsidP="00093907">
      <w:pPr>
        <w:pStyle w:val="a4"/>
        <w:jc w:val="right"/>
        <w:rPr>
          <w:rFonts w:ascii="Times New Roman" w:hAnsi="Times New Roman" w:cs="Times New Roman"/>
          <w:sz w:val="24"/>
          <w:szCs w:val="24"/>
        </w:rPr>
      </w:pPr>
    </w:p>
    <w:p w:rsidR="00093907" w:rsidRPr="00093907" w:rsidRDefault="00093907" w:rsidP="00093907">
      <w:pPr>
        <w:pStyle w:val="a4"/>
        <w:jc w:val="right"/>
        <w:rPr>
          <w:rFonts w:ascii="Times New Roman" w:hAnsi="Times New Roman" w:cs="Times New Roman"/>
          <w:sz w:val="24"/>
          <w:szCs w:val="24"/>
        </w:rPr>
      </w:pPr>
      <w:r w:rsidRPr="00093907">
        <w:rPr>
          <w:rFonts w:ascii="Times New Roman" w:hAnsi="Times New Roman" w:cs="Times New Roman"/>
          <w:sz w:val="24"/>
          <w:szCs w:val="24"/>
        </w:rPr>
        <w:t>Помощник прокурора Чановского района</w:t>
      </w:r>
    </w:p>
    <w:p w:rsidR="00093907" w:rsidRPr="00093907" w:rsidRDefault="00093907" w:rsidP="00093907">
      <w:pPr>
        <w:pStyle w:val="a4"/>
        <w:jc w:val="right"/>
        <w:rPr>
          <w:rFonts w:ascii="Times New Roman" w:hAnsi="Times New Roman" w:cs="Times New Roman"/>
          <w:sz w:val="24"/>
          <w:szCs w:val="24"/>
        </w:rPr>
      </w:pPr>
      <w:r w:rsidRPr="00093907">
        <w:rPr>
          <w:rFonts w:ascii="Times New Roman" w:hAnsi="Times New Roman" w:cs="Times New Roman"/>
          <w:sz w:val="24"/>
          <w:szCs w:val="24"/>
        </w:rPr>
        <w:t xml:space="preserve"> юрист 1 класса О.Е. Кузеванова</w:t>
      </w:r>
    </w:p>
    <w:p w:rsidR="00093907" w:rsidRPr="00093907" w:rsidRDefault="00093907" w:rsidP="00093907">
      <w:pPr>
        <w:pStyle w:val="a4"/>
        <w:jc w:val="right"/>
        <w:rPr>
          <w:rFonts w:ascii="Times New Roman" w:hAnsi="Times New Roman" w:cs="Times New Roman"/>
          <w:sz w:val="24"/>
          <w:szCs w:val="24"/>
        </w:rPr>
      </w:pPr>
    </w:p>
    <w:p w:rsidR="00093907" w:rsidRPr="00093907" w:rsidRDefault="00093907" w:rsidP="00093907">
      <w:pPr>
        <w:spacing w:before="100" w:beforeAutospacing="1" w:after="100" w:afterAutospacing="1"/>
        <w:jc w:val="center"/>
        <w:rPr>
          <w:b/>
          <w:color w:val="000000"/>
        </w:rPr>
      </w:pPr>
      <w:r w:rsidRPr="00093907">
        <w:rPr>
          <w:b/>
          <w:color w:val="000000"/>
        </w:rPr>
        <w:t>ПОСОБИЕ ПО БЕЗРАБОТИЦЕ</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Трудовым кодексом РФ предусмотрены выплаты пособия по безработице. Одновременно с решением о признании гражданина безработным принимается решение о назначении пособия по безработице.</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за ними по последнему месту работы, службы сохраняется средняя заработная плата (с зачетом выходного пособия), пособие по безработице начисляется начиная с первого дня по истечении указанного периода.</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 исчислении в течение 12 месяцев, за исключением случаев, предусмотренных Трудовым кодексом РФ.</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 xml:space="preserve">Для граждан, впервые ищущих работу (ранее не работавших),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а также </w:t>
      </w:r>
      <w:r w:rsidRPr="00093907">
        <w:rPr>
          <w:rFonts w:ascii="Times New Roman" w:hAnsi="Times New Roman" w:cs="Times New Roman"/>
          <w:sz w:val="24"/>
          <w:szCs w:val="24"/>
        </w:rPr>
        <w:lastRenderedPageBreak/>
        <w:t>для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три месяца в суммарном исчислении в течение 12 месяцев. Пособие по безработице выплачивается ежемесячно при условии прохождения безработным перерегистрации в установленные органами службы занятости сроки, но не более двух раз в месяц.</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С 1 января 2020 года установлена минимальная величина пособия по безработице в размере 1500 рублей, максимальная величина пособия по безработице в размере 8000 рублей - для граждан, признанных в установленном порядке безработными, за исключением граждан предпенсионного возраста, указанных в пунктах 1 и 2 статьи 34.2 Закона Российской Федерации «О занятости населения в Российской Федерации».</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Для этих лиц минимальная величина пособия по безработице установлена в размере 1500 рублей, максимальная величина пособия по безработице - в размере 11280 рублей.</w:t>
      </w:r>
    </w:p>
    <w:p w:rsidR="00093907" w:rsidRPr="00093907" w:rsidRDefault="00093907" w:rsidP="00093907">
      <w:pPr>
        <w:pStyle w:val="a4"/>
        <w:jc w:val="right"/>
        <w:rPr>
          <w:rFonts w:ascii="Times New Roman" w:hAnsi="Times New Roman" w:cs="Times New Roman"/>
          <w:sz w:val="24"/>
          <w:szCs w:val="24"/>
        </w:rPr>
      </w:pPr>
    </w:p>
    <w:p w:rsidR="00093907" w:rsidRPr="00093907" w:rsidRDefault="00093907" w:rsidP="00093907">
      <w:pPr>
        <w:pStyle w:val="a4"/>
        <w:jc w:val="right"/>
        <w:rPr>
          <w:rFonts w:ascii="Times New Roman" w:hAnsi="Times New Roman" w:cs="Times New Roman"/>
          <w:sz w:val="24"/>
          <w:szCs w:val="24"/>
        </w:rPr>
      </w:pPr>
      <w:r w:rsidRPr="00093907">
        <w:rPr>
          <w:rFonts w:ascii="Times New Roman" w:hAnsi="Times New Roman" w:cs="Times New Roman"/>
          <w:sz w:val="24"/>
          <w:szCs w:val="24"/>
        </w:rPr>
        <w:t>Помощник прокурора Чановского района</w:t>
      </w:r>
    </w:p>
    <w:p w:rsidR="00093907" w:rsidRPr="00093907" w:rsidRDefault="00093907" w:rsidP="00093907">
      <w:pPr>
        <w:pStyle w:val="a4"/>
        <w:jc w:val="right"/>
        <w:rPr>
          <w:rFonts w:ascii="Times New Roman" w:hAnsi="Times New Roman" w:cs="Times New Roman"/>
          <w:sz w:val="24"/>
          <w:szCs w:val="24"/>
        </w:rPr>
      </w:pPr>
      <w:r w:rsidRPr="00093907">
        <w:rPr>
          <w:rFonts w:ascii="Times New Roman" w:hAnsi="Times New Roman" w:cs="Times New Roman"/>
          <w:sz w:val="24"/>
          <w:szCs w:val="24"/>
        </w:rPr>
        <w:t xml:space="preserve"> юрист 1 класса О.Е. Кузеванова</w:t>
      </w:r>
    </w:p>
    <w:p w:rsidR="00093907" w:rsidRPr="00093907" w:rsidRDefault="00093907" w:rsidP="00093907">
      <w:pPr>
        <w:jc w:val="both"/>
      </w:pPr>
    </w:p>
    <w:p w:rsidR="00093907" w:rsidRPr="00093907" w:rsidRDefault="00093907" w:rsidP="00093907">
      <w:pPr>
        <w:spacing w:before="100" w:beforeAutospacing="1" w:after="100" w:afterAutospacing="1"/>
        <w:jc w:val="center"/>
        <w:rPr>
          <w:b/>
          <w:color w:val="000000"/>
        </w:rPr>
      </w:pPr>
      <w:r w:rsidRPr="00093907">
        <w:rPr>
          <w:b/>
          <w:color w:val="000000"/>
        </w:rPr>
        <w:t>Особенности недобровольной госпитализации граждан в противотуберкулезную организацию</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Постановлением Пленума Верховного Суда РФ от 26.11.2019 №50 разъяснен ряд вопросов, возникающих в связи с рассмотрением судами административных дел о госпитализации гражданина в медицинскую противотуберкулезную организацию в недобровольном порядке.</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Так, административное исковое заявление о госпитализации в медицинскую противотуберкулезную организацию в недобровольном порядке может быть подано в отношении гражданина, больного заразной формой туберкулеза и неоднократно нарушающего санитарно-противоэпидемический режим либо гражданина, умышленно уклоняющегося от обследования в целях выявления туберкулеза или от лечения туберкулеза.</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При этом, под неоднократным нарушением санитарно-противоэпидемического режима понимается, в частности, двух- и более кратное нарушение обязанностей, установленных статьей 13 Федерального закона «О предупреждении распространения туберкулеза в Российской Федерации».</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Умышленное уклонение гражданина от лечения может быть установлено в случае, если в отношении гражданина имеется первичная медицинская информация о заболевании туберкулезом и он был предупрежден о необходимости прохождения обследования или дополнительного лечения, но без уважительных причин его не прошел.</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Также суд указал, что в целях охраны жизни и здоровья граждан судебное заседание по административному делу о госпитализации гражданина в медицинскую противотуберкулезную организацию в недобровольном порядке может проводиться путем использования систем видеоконференц-связи с медицинской организацией либо посредством выездного судебного заседания в медучреждении.</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Согласно позиции Пленума Верховного Суда РФ неявка ответчика, надлежащим образом извещенного о времени и месте судебного заседания, без уважительных причин в судебное заседание не препятствует рассмотрению административного дела с участием его представителя, а при его отсутствии - с участием назначенного судом адвоката.</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Указанное правило распространяется и на случаи неизвестности места жительства (места пребывания) ответчика, отказа данного лица от принятия судебного извещения.</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По ходатайству административного ответчика или его представителя разбирательство по таким делам может осуществляться в закрытом судебном заседании.</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lastRenderedPageBreak/>
        <w:t>Кроме того, в решении суд должен самостоятельно определить срок госпитализации исходя из времени, необходимого для обследования и лечения административного ответчика. В целях определения срока госпитализации судом может быть получена консультация специалиста.</w:t>
      </w:r>
    </w:p>
    <w:p w:rsidR="00093907" w:rsidRPr="00093907" w:rsidRDefault="00093907" w:rsidP="00093907">
      <w:pPr>
        <w:spacing w:before="100" w:beforeAutospacing="1" w:after="100" w:afterAutospacing="1"/>
        <w:jc w:val="right"/>
        <w:rPr>
          <w:color w:val="000000"/>
        </w:rPr>
      </w:pPr>
      <w:r w:rsidRPr="00093907">
        <w:rPr>
          <w:color w:val="000000"/>
        </w:rPr>
        <w:t>Помощник прокурора Чановского района юрист 1 класса О.Е. Кузеванова</w:t>
      </w:r>
    </w:p>
    <w:p w:rsidR="00093907" w:rsidRPr="00093907" w:rsidRDefault="00093907" w:rsidP="00093907">
      <w:pPr>
        <w:pStyle w:val="a4"/>
        <w:jc w:val="center"/>
        <w:rPr>
          <w:rFonts w:ascii="Times New Roman" w:hAnsi="Times New Roman" w:cs="Times New Roman"/>
          <w:b/>
          <w:sz w:val="24"/>
          <w:szCs w:val="24"/>
        </w:rPr>
      </w:pPr>
    </w:p>
    <w:p w:rsidR="00093907" w:rsidRPr="00093907" w:rsidRDefault="00093907" w:rsidP="00093907">
      <w:pPr>
        <w:pStyle w:val="a4"/>
        <w:jc w:val="center"/>
        <w:rPr>
          <w:rFonts w:ascii="Times New Roman" w:hAnsi="Times New Roman" w:cs="Times New Roman"/>
          <w:b/>
          <w:sz w:val="24"/>
          <w:szCs w:val="24"/>
        </w:rPr>
      </w:pPr>
      <w:r w:rsidRPr="00093907">
        <w:rPr>
          <w:rFonts w:ascii="Times New Roman" w:hAnsi="Times New Roman" w:cs="Times New Roman"/>
          <w:b/>
          <w:sz w:val="24"/>
          <w:szCs w:val="24"/>
        </w:rPr>
        <w:t>УГОЛОВНАЯ ОТВЕТСТВЕННОСТЬ ЗА НЕВЫПЛАТУ ЗАРПЛАТЫ</w:t>
      </w:r>
    </w:p>
    <w:p w:rsidR="00093907" w:rsidRPr="00093907" w:rsidRDefault="00093907" w:rsidP="00093907">
      <w:pPr>
        <w:pStyle w:val="a4"/>
        <w:jc w:val="center"/>
        <w:rPr>
          <w:rFonts w:ascii="Times New Roman" w:hAnsi="Times New Roman" w:cs="Times New Roman"/>
          <w:sz w:val="24"/>
          <w:szCs w:val="24"/>
        </w:rPr>
      </w:pP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Невыплата заработной платы - нарушение конституционных прав гражданина.</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Уголовный закон охраняет право каждого работника на своевременную выплату заработной платы в полном размере. Уголовная ответственность установлена за невыплату заработной платы свыше 2-х месяцев подряд или выплату в размере ниже установленного федеральным законом минимального размера оплаты труда за тот же период, частичную невыплату заработной платы, пенсий, стипендий, пособий и иных установленных законом выплат (менее половины суммы), свыше 3-х месяцев подряд, а также те же деяния, повлекшие наступление тяжких последствий.</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Максимальное наказание - 3 года лишения свободы с лишением права занимать определенные должности или заниматься определенной деятельностью. К тяжким последствиям могут быть отнесены смерть или тяжкий вред здоровью в результате отсутствия средств на оплату дорогостоящего лечения работника или его близких, обеспечиваемых обязательными и не произведенными по вине администрации выплатами; утрата жилья в результате невыполнения финансовых обязательств перед кредиторами; ухудшение материального положения многих людей, приведшее к акциям протеста с тяжелыми последствиями. Уголовно наказуемой является невыплата заработной платы при наличии реальной возможности выплаты, например, если работодатель, имея на расчетных счетах денежные средства, расходовал их не на погашение задолженности по заработной плате, а на хозяйственные нужды, оплату консультационных услуг, погашение процентов по кредитам и другие коммерческие операции.</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Для признания вины в действиях работодателя должна быть установлена корыстная или иная личная заинтересованность. Под корыстной заинтересованностью понимается стремление путем совершения неправомерных действий получить для себя или других лиц выгоду имущественного характера, не связанную с незаконным безвозмездным обращением имущества в свою пользу или пользу других лиц.</w:t>
      </w:r>
    </w:p>
    <w:p w:rsidR="00093907" w:rsidRPr="00093907" w:rsidRDefault="00093907" w:rsidP="00093907">
      <w:pPr>
        <w:pStyle w:val="a4"/>
        <w:jc w:val="right"/>
        <w:rPr>
          <w:rFonts w:ascii="Times New Roman" w:hAnsi="Times New Roman" w:cs="Times New Roman"/>
          <w:sz w:val="24"/>
          <w:szCs w:val="24"/>
        </w:rPr>
      </w:pPr>
      <w:r w:rsidRPr="00093907">
        <w:rPr>
          <w:rFonts w:ascii="Times New Roman" w:hAnsi="Times New Roman" w:cs="Times New Roman"/>
          <w:sz w:val="24"/>
          <w:szCs w:val="24"/>
        </w:rPr>
        <w:t>Помощник прокурора Чановского района юрист 1 класса О.Е. Кузеванова</w:t>
      </w:r>
    </w:p>
    <w:p w:rsidR="00093907" w:rsidRPr="00093907" w:rsidRDefault="00093907" w:rsidP="00093907">
      <w:pPr>
        <w:spacing w:before="100" w:beforeAutospacing="1" w:after="100" w:afterAutospacing="1"/>
        <w:jc w:val="right"/>
        <w:rPr>
          <w:color w:val="000000"/>
        </w:rPr>
      </w:pPr>
    </w:p>
    <w:p w:rsidR="00093907" w:rsidRPr="00093907" w:rsidRDefault="00093907" w:rsidP="00093907">
      <w:pPr>
        <w:pStyle w:val="a4"/>
        <w:jc w:val="center"/>
        <w:rPr>
          <w:rFonts w:ascii="Times New Roman" w:hAnsi="Times New Roman" w:cs="Times New Roman"/>
          <w:b/>
          <w:sz w:val="24"/>
          <w:szCs w:val="24"/>
        </w:rPr>
      </w:pPr>
      <w:r w:rsidRPr="00093907">
        <w:rPr>
          <w:rFonts w:ascii="Times New Roman" w:hAnsi="Times New Roman" w:cs="Times New Roman"/>
          <w:b/>
          <w:sz w:val="24"/>
          <w:szCs w:val="24"/>
        </w:rPr>
        <w:t>Прокуратура разъясняет: «МРОТ в 2020 году»</w:t>
      </w:r>
    </w:p>
    <w:p w:rsidR="00093907" w:rsidRPr="00093907" w:rsidRDefault="00093907" w:rsidP="00093907">
      <w:pPr>
        <w:pStyle w:val="a4"/>
        <w:jc w:val="center"/>
        <w:rPr>
          <w:rFonts w:ascii="Times New Roman" w:hAnsi="Times New Roman" w:cs="Times New Roman"/>
          <w:b/>
          <w:sz w:val="24"/>
          <w:szCs w:val="24"/>
        </w:rPr>
      </w:pP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С 1 января 2020 года федеральный минимальный размер оплаты труда (МРОТ) равен прожиточному минимуму для трудоспособного населения по России за второй квартал предыдущего года, другими словами — 12 130 рублей.</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Помимо федерального МРОТ, который обязателен для всех, во многих субъектах установлены свои региональные надбавки. Это связано с тем, что климатические условия на всей территории страны далеко неодинаковы и закон обязывает учитывать негативное воздействие, которое оказывает на здоровье человека работа в особых и сложных условиях. На территории Новосибирской области действует коэффициент в размере 25 процентов. Таким образом, итоговая сумма минимального размера оплаты труда в Новосибирской области с 1 января 2020 года составляет 15 162,50 рублей.</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lastRenderedPageBreak/>
        <w:t>Напомним, что Законом от 28.12.2017 №421-ФЗ введен механизм ежегодного установления минимального размера оплаты труда в размере 100 % величины прожиточного минимума трудоспособного населения в целом по Российской Федерации за II квартал предыдущего года. Начиная с 1 января 2018 года и далее ежегодно с 1 января соответствующего года МРОТ должен ежегодно устанавливать федеральный закон.</w:t>
      </w:r>
    </w:p>
    <w:p w:rsidR="00093907" w:rsidRPr="00093907" w:rsidRDefault="00093907" w:rsidP="00093907">
      <w:pPr>
        <w:pStyle w:val="a4"/>
        <w:jc w:val="both"/>
        <w:rPr>
          <w:rFonts w:ascii="Times New Roman" w:hAnsi="Times New Roman" w:cs="Times New Roman"/>
          <w:sz w:val="24"/>
          <w:szCs w:val="24"/>
        </w:rPr>
      </w:pPr>
      <w:r w:rsidRPr="00093907">
        <w:rPr>
          <w:rFonts w:ascii="Times New Roman" w:hAnsi="Times New Roman" w:cs="Times New Roman"/>
          <w:sz w:val="24"/>
          <w:szCs w:val="24"/>
        </w:rPr>
        <w:t>В случае если заработная плата работника будет ниже, чем установленная законом «минималка», работодателю грозит ответственность в виде штрафа.</w:t>
      </w:r>
    </w:p>
    <w:p w:rsidR="00093907" w:rsidRPr="00093907" w:rsidRDefault="00093907" w:rsidP="00093907">
      <w:pPr>
        <w:spacing w:before="100" w:beforeAutospacing="1" w:after="100" w:afterAutospacing="1"/>
        <w:jc w:val="right"/>
        <w:rPr>
          <w:color w:val="000000"/>
        </w:rPr>
      </w:pPr>
      <w:r w:rsidRPr="00093907">
        <w:rPr>
          <w:color w:val="000000"/>
        </w:rPr>
        <w:t>Помощник прокурора Чановского района</w:t>
      </w:r>
    </w:p>
    <w:p w:rsidR="00093907" w:rsidRPr="00093907" w:rsidRDefault="00093907" w:rsidP="00093907">
      <w:pPr>
        <w:spacing w:before="100" w:beforeAutospacing="1" w:after="100" w:afterAutospacing="1"/>
        <w:jc w:val="right"/>
        <w:rPr>
          <w:color w:val="000000"/>
        </w:rPr>
      </w:pPr>
      <w:r w:rsidRPr="00093907">
        <w:rPr>
          <w:color w:val="000000"/>
        </w:rPr>
        <w:t xml:space="preserve"> юрист 1 класса О.Е. Кузеванова</w:t>
      </w:r>
    </w:p>
    <w:p w:rsidR="00093907" w:rsidRPr="00093907" w:rsidRDefault="00093907" w:rsidP="00093907">
      <w:pPr>
        <w:spacing w:before="100" w:beforeAutospacing="1" w:after="100" w:afterAutospacing="1"/>
        <w:jc w:val="center"/>
        <w:rPr>
          <w:b/>
          <w:color w:val="000000"/>
        </w:rPr>
      </w:pPr>
    </w:p>
    <w:p w:rsidR="00093907" w:rsidRPr="00093907" w:rsidRDefault="00093907" w:rsidP="00093907">
      <w:pPr>
        <w:pStyle w:val="1"/>
        <w:jc w:val="center"/>
        <w:rPr>
          <w:rFonts w:ascii="Times New Roman" w:hAnsi="Times New Roman"/>
          <w:b/>
          <w:sz w:val="24"/>
          <w:szCs w:val="24"/>
        </w:rPr>
      </w:pPr>
      <w:r w:rsidRPr="00093907">
        <w:rPr>
          <w:rFonts w:ascii="Times New Roman" w:hAnsi="Times New Roman"/>
          <w:b/>
          <w:sz w:val="24"/>
          <w:szCs w:val="24"/>
        </w:rPr>
        <w:t>Об уголовной ответственности за незаконную миграцию.</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Организация незаконной миграции, зачастую, носит характер хорошо организованного преступного бизнеса, одним из элементов которого является фиктивная регистрация граждан. К такому бизнесу нередко причастны не только преступные группы, но и должностные лица государственных органов. В связи с этим сложно переоценить важность деятельности правоохранительных органов в борьбе с незаконной миграцией и ее организаторами.</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Понятие фиктивной регистрации гражданина законодательно закреплено в статье 2 Закона Российской Федерации от 25.06.1993 № 5242-1 «О праве граждан Российской Федерации на свободу передвижения, выбор места пребывания и места жительства в пределах Российской Федерации».</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Фиктивную регистрацию закон определяет как регистрацию гражданина Российской Федерации по месту пребывания или по месту жительства на основании предоставления заведомо недостоверных сведений или документов для такой регистрации, либо его регистрацию в жилом помещении без намерения пребывать (проживать) в этом помещении, либо регистрацию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 и фиктивную регистрацию иностранного гражданина или лица без гражданства по месту жительства в жилом помещении в Российской Федерации установлена статьей 322.2 Уголовного кодекса Российской Федерации.</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За фиктивную постановку на учет иностранного гражданина или лица без гражданства по месту пребывания в жилом помещении в Российской Федерации, уголовная ответственность предусмотрена статье 322.3 Уголовного кодекса РФ.</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Наказание по статьям 322.2, 322.3 УК РФ назначается в виде штрафа от 100 до 500 тысяч рублей, но предусмотрены и иные виды наказания, вплоть до лишения свободы на срок до трех лет.</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Следует отметить, что лица, совершившие такие преступления, освобождаются от уголовной ответственности, если они способствовали раскрытию этих преступлений и, если в их действиях не содержится иного состава преступления.</w:t>
      </w:r>
    </w:p>
    <w:p w:rsidR="00093907" w:rsidRPr="00093907" w:rsidRDefault="00093907" w:rsidP="00093907">
      <w:pPr>
        <w:spacing w:before="100" w:beforeAutospacing="1" w:after="100" w:afterAutospacing="1"/>
        <w:jc w:val="right"/>
        <w:rPr>
          <w:color w:val="000000"/>
        </w:rPr>
      </w:pPr>
      <w:r w:rsidRPr="00093907">
        <w:rPr>
          <w:color w:val="000000"/>
        </w:rPr>
        <w:t>Заместитель прокурора</w:t>
      </w:r>
    </w:p>
    <w:p w:rsidR="00093907" w:rsidRPr="00093907" w:rsidRDefault="00093907" w:rsidP="00093907">
      <w:pPr>
        <w:spacing w:before="100" w:beforeAutospacing="1" w:after="100" w:afterAutospacing="1"/>
        <w:jc w:val="right"/>
        <w:rPr>
          <w:color w:val="000000"/>
        </w:rPr>
      </w:pPr>
      <w:r w:rsidRPr="00093907">
        <w:rPr>
          <w:color w:val="000000"/>
        </w:rPr>
        <w:t>Чановского района</w:t>
      </w:r>
    </w:p>
    <w:p w:rsidR="00093907" w:rsidRPr="00093907" w:rsidRDefault="00093907" w:rsidP="00093907">
      <w:pPr>
        <w:spacing w:before="100" w:beforeAutospacing="1" w:after="100" w:afterAutospacing="1"/>
        <w:jc w:val="right"/>
        <w:rPr>
          <w:color w:val="000000"/>
        </w:rPr>
      </w:pPr>
      <w:r w:rsidRPr="00093907">
        <w:rPr>
          <w:color w:val="000000"/>
        </w:rPr>
        <w:t>А.Е. Островерхова</w:t>
      </w:r>
    </w:p>
    <w:p w:rsidR="00093907" w:rsidRPr="00093907" w:rsidRDefault="00093907" w:rsidP="00093907">
      <w:pPr>
        <w:spacing w:before="100" w:beforeAutospacing="1" w:after="100" w:afterAutospacing="1"/>
        <w:jc w:val="center"/>
        <w:rPr>
          <w:b/>
          <w:color w:val="000000"/>
        </w:rPr>
      </w:pPr>
      <w:r w:rsidRPr="00093907">
        <w:rPr>
          <w:b/>
          <w:color w:val="000000"/>
        </w:rPr>
        <w:lastRenderedPageBreak/>
        <w:t>Освобождение от уголовной ответственности в связи с примирением с потерпевшим</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В соответствии со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Согласно положениям Постановления Пленума Верховного Суда Российской Федерации от 27.06.2013 № 19, впервые совершившим преступление считается, в частности, лицо:</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а)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б) предыдущий приговор, в отношении которого на момент совершения нового преступления не вступил в законную силу;</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в) 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г) предыдущий приговор, в отношении которого вступил в законную силу, но на момент судебного разбирательства устранена преступность деяния, за которое лицо было осуждено;</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д) которое ранее было освобождено от уголовной ответственности.</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Под заглаживанием понимается возмещение ущерба, а также иные меры, направленные на восстановление нарушенных в результате преступления прав и законных интересов потерпевшего.</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Под ущербом следует понимать имущественный вред, который может быть возмещен в натуре (в частности, путем предоставления имущества взамен утраченного, ремонта или исправления поврежденного имущества), в денежной форме (например, возмещение стоимости утраченного или поврежденного имущества, расходов на лечение) и т.д. Способы заглаживания вреда, а также размер его возмещения определяются потерпевшим.</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Возмещение ущерба, заглаживание вреда могут быть произведены не только лицом, совершившим преступление, но и по его просьбе (с его согласия) другими лицами.</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Обещания, а также различного рода обязательства лица, совершившего преступление, возместить ущерб или загладить вред в будущем не являются обстоятельствами, дающими основание для освобождения этого лица от уголовной ответственности.</w:t>
      </w:r>
    </w:p>
    <w:p w:rsidR="00093907" w:rsidRPr="00093907" w:rsidRDefault="00093907" w:rsidP="00093907">
      <w:pPr>
        <w:pStyle w:val="1"/>
        <w:jc w:val="right"/>
        <w:rPr>
          <w:rFonts w:ascii="Times New Roman" w:hAnsi="Times New Roman"/>
          <w:sz w:val="24"/>
          <w:szCs w:val="24"/>
        </w:rPr>
      </w:pPr>
    </w:p>
    <w:p w:rsidR="00093907" w:rsidRPr="00093907" w:rsidRDefault="00093907" w:rsidP="00093907">
      <w:pPr>
        <w:pStyle w:val="1"/>
        <w:jc w:val="right"/>
        <w:rPr>
          <w:rFonts w:ascii="Times New Roman" w:hAnsi="Times New Roman"/>
          <w:sz w:val="24"/>
          <w:szCs w:val="24"/>
        </w:rPr>
      </w:pPr>
      <w:r w:rsidRPr="00093907">
        <w:rPr>
          <w:rFonts w:ascii="Times New Roman" w:hAnsi="Times New Roman"/>
          <w:sz w:val="24"/>
          <w:szCs w:val="24"/>
        </w:rPr>
        <w:t>Заместитель прокурора</w:t>
      </w:r>
    </w:p>
    <w:p w:rsidR="00093907" w:rsidRPr="00093907" w:rsidRDefault="00093907" w:rsidP="00093907">
      <w:pPr>
        <w:pStyle w:val="1"/>
        <w:jc w:val="right"/>
        <w:rPr>
          <w:rFonts w:ascii="Times New Roman" w:hAnsi="Times New Roman"/>
          <w:sz w:val="24"/>
          <w:szCs w:val="24"/>
        </w:rPr>
      </w:pPr>
      <w:r w:rsidRPr="00093907">
        <w:rPr>
          <w:rFonts w:ascii="Times New Roman" w:hAnsi="Times New Roman"/>
          <w:sz w:val="24"/>
          <w:szCs w:val="24"/>
        </w:rPr>
        <w:t>Чановского района</w:t>
      </w:r>
    </w:p>
    <w:p w:rsidR="00093907" w:rsidRPr="00093907" w:rsidRDefault="00093907" w:rsidP="00093907">
      <w:pPr>
        <w:pStyle w:val="1"/>
        <w:jc w:val="right"/>
        <w:rPr>
          <w:rFonts w:ascii="Times New Roman" w:hAnsi="Times New Roman"/>
          <w:sz w:val="24"/>
          <w:szCs w:val="24"/>
        </w:rPr>
      </w:pPr>
      <w:r w:rsidRPr="00093907">
        <w:rPr>
          <w:rFonts w:ascii="Times New Roman" w:hAnsi="Times New Roman"/>
          <w:sz w:val="24"/>
          <w:szCs w:val="24"/>
        </w:rPr>
        <w:t>А.Е. Островерхова</w:t>
      </w:r>
    </w:p>
    <w:p w:rsidR="00093907" w:rsidRPr="00093907" w:rsidRDefault="00093907" w:rsidP="00093907">
      <w:pPr>
        <w:spacing w:before="100" w:beforeAutospacing="1" w:after="100" w:afterAutospacing="1"/>
        <w:rPr>
          <w:color w:val="000000"/>
        </w:rPr>
      </w:pPr>
      <w:r w:rsidRPr="00093907">
        <w:rPr>
          <w:color w:val="000000"/>
        </w:rPr>
        <w:t>Внесены изменения в Положение о представлении служащими сведений о доходах</w:t>
      </w:r>
    </w:p>
    <w:p w:rsidR="00093907" w:rsidRPr="00093907" w:rsidRDefault="00093907" w:rsidP="00093907">
      <w:pPr>
        <w:spacing w:before="100" w:beforeAutospacing="1" w:after="100" w:afterAutospacing="1"/>
        <w:jc w:val="both"/>
        <w:rPr>
          <w:color w:val="000000"/>
        </w:rPr>
      </w:pPr>
      <w:r w:rsidRPr="00093907">
        <w:rPr>
          <w:color w:val="000000"/>
        </w:rPr>
        <w:t xml:space="preserve">Указом Президента Российской Федерации от 15.01.2020 № 13 " О внесении изменений в некоторые акты Президента Российской Федерации" в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w:t>
      </w:r>
      <w:r w:rsidRPr="00093907">
        <w:rPr>
          <w:color w:val="000000"/>
        </w:rPr>
        <w:lastRenderedPageBreak/>
        <w:t>характера" внесены изменения, согласно которым сведения о доходах, об имуществе и обязательствах имущественного характера представляемые по утвержденной Президентом Российской Федерации форме справки, с 1 июля 2020 года должны быть заполнены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93907" w:rsidRPr="00093907" w:rsidRDefault="00093907" w:rsidP="00093907">
      <w:pPr>
        <w:pStyle w:val="1"/>
        <w:jc w:val="right"/>
        <w:rPr>
          <w:rFonts w:ascii="Times New Roman" w:hAnsi="Times New Roman"/>
          <w:sz w:val="24"/>
          <w:szCs w:val="24"/>
        </w:rPr>
      </w:pPr>
      <w:r w:rsidRPr="00093907">
        <w:rPr>
          <w:rFonts w:ascii="Times New Roman" w:hAnsi="Times New Roman"/>
          <w:sz w:val="24"/>
          <w:szCs w:val="24"/>
        </w:rPr>
        <w:t>Заместитель прокурора</w:t>
      </w:r>
    </w:p>
    <w:p w:rsidR="00093907" w:rsidRPr="00093907" w:rsidRDefault="00093907" w:rsidP="00093907">
      <w:pPr>
        <w:pStyle w:val="1"/>
        <w:jc w:val="right"/>
        <w:rPr>
          <w:rFonts w:ascii="Times New Roman" w:hAnsi="Times New Roman"/>
          <w:sz w:val="24"/>
          <w:szCs w:val="24"/>
        </w:rPr>
      </w:pPr>
      <w:r w:rsidRPr="00093907">
        <w:rPr>
          <w:rFonts w:ascii="Times New Roman" w:hAnsi="Times New Roman"/>
          <w:sz w:val="24"/>
          <w:szCs w:val="24"/>
        </w:rPr>
        <w:t>Чановского района</w:t>
      </w:r>
    </w:p>
    <w:p w:rsidR="00093907" w:rsidRPr="00093907" w:rsidRDefault="00093907" w:rsidP="00093907">
      <w:pPr>
        <w:pStyle w:val="1"/>
        <w:jc w:val="right"/>
        <w:rPr>
          <w:rFonts w:ascii="Times New Roman" w:hAnsi="Times New Roman"/>
          <w:sz w:val="24"/>
          <w:szCs w:val="24"/>
        </w:rPr>
      </w:pPr>
      <w:r w:rsidRPr="00093907">
        <w:rPr>
          <w:rFonts w:ascii="Times New Roman" w:hAnsi="Times New Roman"/>
          <w:sz w:val="24"/>
          <w:szCs w:val="24"/>
        </w:rPr>
        <w:t>А.Е. Островерхова</w:t>
      </w:r>
    </w:p>
    <w:p w:rsidR="00093907" w:rsidRPr="00093907" w:rsidRDefault="00093907" w:rsidP="00093907">
      <w:pPr>
        <w:spacing w:before="100" w:beforeAutospacing="1" w:after="100" w:afterAutospacing="1"/>
        <w:jc w:val="center"/>
        <w:rPr>
          <w:b/>
          <w:color w:val="000000"/>
        </w:rPr>
      </w:pPr>
      <w:r w:rsidRPr="00093907">
        <w:rPr>
          <w:b/>
          <w:color w:val="000000"/>
        </w:rPr>
        <w:t>Имущественные налоги рассчитываются по новым правилам</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Вступили в силу изменения в правила налогообложения имущества физлиц, которые будут учитываться при исчислении налогов за 2019 год:</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Во-первых, введен беззаявительный порядок предоставления льгот по транспортному налогу. Теперь льготы физлиц могут применяться как на основании заявления налогоплательщика, представленного в инспекцию, так и по информации, полученной налоговыми органами от иных ведомств и организаций, в том числе ПФР и органов соцзащиты;</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Во-вторых, при расчете транспортного налога будет применяться Перечень легковых автомобилей средней стоимостью от 3 млн руб. за 2019 год, размещенный на сайте Минпромторга России;</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В-третьих, вступают в силу изменения в налоговых ставках и льготах, введенные с 2019 года законами субъектов РФ по месту нахождения транспортных средств;</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В- четвертых, не применяется федеральная налоговая льгота в отношении транспортных средств максимальной массы свыше 12 тонн, зарегистрированных в системе взимания платы "Платон";</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Наконец, введен налоговый вычет, уменьшающий земельный налог на кадастровую стоимость 600 кв. м по одному земельному участку для предпенсионеров. Также вступает в силу федеральная льгота, освобождающая их от уплаты налога на имущество в отношении одного объекта определённого вида (жилого дома, квартиры, комнаты, гаража и т.п.), который не используется в предпринимательской деятельности. К предпенсионерам относятся лица, отвечающие условиям, необходимым для назначения пенсии в соответствии с законодательством Российской Федерации, действовавшим на 31 декабря 2018 г.;</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В качестве налоговой базы по налогу на имущество физлиц впервые будет применена кадастровая стоимость на территории Республик Дагестан и Северная Осетия - Алания, Красноярского края, Смоленской области. В семи регионах, где кадастровая стоимость используется второй год, при расчете налога будет применен коэффициент 0,4 (был - 0,2). В 14 регионах третьего года применения кадастровой стоимости коэффициент достигнет значения 0,6 (был - 0,4). Исключение - объекты, относящиеся к торгово-офисной недвижимости.</w:t>
      </w:r>
    </w:p>
    <w:p w:rsidR="00093907" w:rsidRPr="00093907" w:rsidRDefault="00093907" w:rsidP="00093907">
      <w:pPr>
        <w:pStyle w:val="1"/>
        <w:jc w:val="both"/>
        <w:rPr>
          <w:rFonts w:ascii="Times New Roman" w:hAnsi="Times New Roman"/>
          <w:color w:val="000000"/>
          <w:sz w:val="24"/>
          <w:szCs w:val="24"/>
        </w:rPr>
      </w:pPr>
      <w:r w:rsidRPr="00093907">
        <w:rPr>
          <w:rFonts w:ascii="Times New Roman" w:hAnsi="Times New Roman"/>
          <w:color w:val="000000"/>
          <w:sz w:val="24"/>
          <w:szCs w:val="24"/>
        </w:rPr>
        <w:t>В 63 регионах, где кадастровая стоимость применяется третий год и дольше, при расчете налога будет использовано десятипроцентное ограничение роста налога.</w:t>
      </w:r>
    </w:p>
    <w:p w:rsidR="00093907" w:rsidRPr="00093907" w:rsidRDefault="00093907" w:rsidP="00093907">
      <w:pPr>
        <w:pStyle w:val="1"/>
        <w:jc w:val="both"/>
        <w:rPr>
          <w:rFonts w:ascii="Times New Roman" w:hAnsi="Times New Roman"/>
          <w:color w:val="000000"/>
          <w:sz w:val="24"/>
          <w:szCs w:val="24"/>
        </w:rPr>
      </w:pPr>
      <w:r w:rsidRPr="00093907">
        <w:rPr>
          <w:rFonts w:ascii="Times New Roman" w:hAnsi="Times New Roman"/>
          <w:color w:val="000000"/>
          <w:sz w:val="24"/>
          <w:szCs w:val="24"/>
        </w:rPr>
        <w:t>В девяти регионах, которые не приняли решение об использовании с 2019 года кадастровой стоимости в качестве налоговой базы, налог будет рассчитан по инвентаризационной стоимости, индексированной на установленный Минэкономразвития России коэффициент-дефлятор 1,518 (был в 2019 г. - 1,481).</w:t>
      </w:r>
    </w:p>
    <w:p w:rsidR="00093907" w:rsidRPr="00093907" w:rsidRDefault="00093907" w:rsidP="00093907">
      <w:pPr>
        <w:spacing w:before="100" w:beforeAutospacing="1" w:after="100" w:afterAutospacing="1"/>
        <w:jc w:val="right"/>
        <w:rPr>
          <w:color w:val="000000"/>
        </w:rPr>
      </w:pPr>
      <w:r w:rsidRPr="00093907">
        <w:rPr>
          <w:color w:val="000000"/>
        </w:rPr>
        <w:lastRenderedPageBreak/>
        <w:t>Старший помощник прокурора Чановского района младший советник юстиции Е.С. Захарова</w:t>
      </w:r>
    </w:p>
    <w:p w:rsidR="00093907" w:rsidRPr="00093907" w:rsidRDefault="00093907" w:rsidP="00093907">
      <w:pPr>
        <w:spacing w:before="100" w:beforeAutospacing="1" w:after="100" w:afterAutospacing="1"/>
        <w:rPr>
          <w:color w:val="000000"/>
        </w:rPr>
      </w:pPr>
    </w:p>
    <w:p w:rsidR="00093907" w:rsidRPr="00093907" w:rsidRDefault="00093907" w:rsidP="00093907">
      <w:pPr>
        <w:spacing w:before="100" w:beforeAutospacing="1" w:after="100" w:afterAutospacing="1"/>
        <w:jc w:val="center"/>
        <w:rPr>
          <w:b/>
          <w:color w:val="000000"/>
        </w:rPr>
      </w:pPr>
      <w:r w:rsidRPr="00093907">
        <w:rPr>
          <w:b/>
          <w:color w:val="000000"/>
        </w:rPr>
        <w:t>Об изменениях норм времени управления транспортным средством</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Постановлением Правительства РФ от 20.12.2019 № 1733 внесены изменения в Правила дорожного движения Российской Федерации, утвержденные постановлением Совета Министров - Правительства Российской Федерации от 23.10.1993 № 1090.</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Так, Правила дорожного движения Российской Федерации дополнены разделом 26, содержащим нормы времени управления транспортным средством и отдыха водителей грузовых автомобилей, разрешенная максимальная масса которых превышает 3500 килограммов.</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Так, время управления транспортным средством не должно превышать 9 часов в течение периода, не превышающего 24 часов с момента начала управления транспортным средством, после завершения ежедневного или еженедельного отдыха.</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При этом водитель обязан сделать перерыв для отдыха от управления транспортным средством продолжительностью не менее 45 минут не позднее 4 часов 30 минут с момента начала управления транспортным средством или с момента начала очередного периода управления транспортным средством.</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Отдых водителя от управления транспортным средством должен быть непрерывным и составлять не менее 11 часов в течение периода, не превышающего 24 часов (ежедневный отдых).</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При достижении предельного времени управления транспортным средством и при отсутствии места стоянки для отдыха водитель вправе увеличить период управления транспортным средством на время, необходимое для движения с соблюдением необходимых мер предосторожности до ближайшего места стоянки для отдыха, но не более чем на 1-2 часа, в случаях, предусмотренных Постановлением.</w:t>
      </w:r>
    </w:p>
    <w:p w:rsidR="00093907" w:rsidRPr="00093907" w:rsidRDefault="00093907" w:rsidP="00093907">
      <w:pPr>
        <w:spacing w:before="100" w:beforeAutospacing="1" w:after="100" w:afterAutospacing="1"/>
        <w:jc w:val="right"/>
        <w:rPr>
          <w:color w:val="000000"/>
        </w:rPr>
      </w:pPr>
      <w:r w:rsidRPr="00093907">
        <w:rPr>
          <w:color w:val="000000"/>
        </w:rPr>
        <w:t xml:space="preserve">Старший помощник прокурора Чановского района </w:t>
      </w:r>
    </w:p>
    <w:p w:rsidR="00093907" w:rsidRPr="00093907" w:rsidRDefault="00093907" w:rsidP="00093907">
      <w:pPr>
        <w:spacing w:before="100" w:beforeAutospacing="1" w:after="100" w:afterAutospacing="1"/>
        <w:jc w:val="right"/>
        <w:rPr>
          <w:color w:val="000000"/>
        </w:rPr>
      </w:pPr>
      <w:r w:rsidRPr="00093907">
        <w:rPr>
          <w:color w:val="000000"/>
        </w:rPr>
        <w:t>младший советник юстиции Е.С. Захарова</w:t>
      </w:r>
    </w:p>
    <w:p w:rsidR="00093907" w:rsidRPr="00093907" w:rsidRDefault="00093907" w:rsidP="00093907">
      <w:pPr>
        <w:spacing w:before="100" w:beforeAutospacing="1" w:after="100" w:afterAutospacing="1"/>
        <w:jc w:val="center"/>
        <w:rPr>
          <w:b/>
          <w:color w:val="000000"/>
        </w:rPr>
      </w:pPr>
      <w:r w:rsidRPr="00093907">
        <w:rPr>
          <w:b/>
          <w:color w:val="000000"/>
        </w:rPr>
        <w:t>Прокуратура разъясняет</w:t>
      </w:r>
    </w:p>
    <w:p w:rsidR="00093907" w:rsidRPr="00093907" w:rsidRDefault="00093907" w:rsidP="00093907">
      <w:pPr>
        <w:spacing w:before="100" w:beforeAutospacing="1" w:after="100" w:afterAutospacing="1"/>
        <w:jc w:val="center"/>
        <w:rPr>
          <w:b/>
          <w:color w:val="000000"/>
        </w:rPr>
      </w:pPr>
      <w:r w:rsidRPr="00093907">
        <w:rPr>
          <w:b/>
          <w:color w:val="000000"/>
        </w:rPr>
        <w:t>Разведенные родители будут вместе нести расходы по обеспечению ребенка жильем</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Федеральным законом от 6 февраля 2020 г. N 10-ФЗ внесены изменения в статью 86 Семейного кодекса Российской Федерации.</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Закон призван защитить жилищные права детей при расторжении брака родителей.</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В перечень исключительных обстоятельств, при наличии которых каждый из родителей может быть привлечен судом к участию в несении дополнительных расходов на детей, включено отсутствие пригодного для постоянного проживания жилого помещения. Это позволит суду привлекать родителя, проживающего отдельно от ребенка, к участию в несении дополнительных расходов на обеспечение несовершеннолетнего ребенка жильем.</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Настоящий Федеральный закон вступил в силу с 17 февраля 2020 г.</w:t>
      </w:r>
    </w:p>
    <w:p w:rsidR="00093907" w:rsidRPr="00093907" w:rsidRDefault="00093907" w:rsidP="00093907">
      <w:pPr>
        <w:pStyle w:val="1"/>
        <w:jc w:val="right"/>
        <w:rPr>
          <w:rFonts w:ascii="Times New Roman" w:hAnsi="Times New Roman"/>
          <w:sz w:val="24"/>
          <w:szCs w:val="24"/>
        </w:rPr>
      </w:pPr>
    </w:p>
    <w:p w:rsidR="00093907" w:rsidRPr="00093907" w:rsidRDefault="00093907" w:rsidP="00093907">
      <w:pPr>
        <w:pStyle w:val="1"/>
        <w:jc w:val="right"/>
        <w:rPr>
          <w:rFonts w:ascii="Times New Roman" w:hAnsi="Times New Roman"/>
          <w:sz w:val="24"/>
          <w:szCs w:val="24"/>
        </w:rPr>
      </w:pPr>
      <w:r w:rsidRPr="00093907">
        <w:rPr>
          <w:rFonts w:ascii="Times New Roman" w:hAnsi="Times New Roman"/>
          <w:sz w:val="24"/>
          <w:szCs w:val="24"/>
        </w:rPr>
        <w:t>Помощник прокурора Чановского района</w:t>
      </w:r>
    </w:p>
    <w:p w:rsidR="00093907" w:rsidRPr="00093907" w:rsidRDefault="00093907" w:rsidP="00093907">
      <w:pPr>
        <w:pStyle w:val="1"/>
        <w:jc w:val="right"/>
        <w:rPr>
          <w:rFonts w:ascii="Times New Roman" w:hAnsi="Times New Roman"/>
          <w:sz w:val="24"/>
          <w:szCs w:val="24"/>
        </w:rPr>
      </w:pPr>
      <w:r w:rsidRPr="00093907">
        <w:rPr>
          <w:rFonts w:ascii="Times New Roman" w:hAnsi="Times New Roman"/>
          <w:sz w:val="24"/>
          <w:szCs w:val="24"/>
        </w:rPr>
        <w:t>С.С. Бармин</w:t>
      </w:r>
    </w:p>
    <w:p w:rsidR="00093907" w:rsidRPr="00093907" w:rsidRDefault="00093907" w:rsidP="00093907">
      <w:pPr>
        <w:spacing w:before="100" w:beforeAutospacing="1" w:after="100" w:afterAutospacing="1"/>
        <w:jc w:val="center"/>
        <w:rPr>
          <w:b/>
          <w:color w:val="000000"/>
        </w:rPr>
      </w:pPr>
      <w:r w:rsidRPr="00093907">
        <w:rPr>
          <w:b/>
          <w:color w:val="000000"/>
        </w:rPr>
        <w:t>В фельдшерских здравпунктах должны быть компьютеры с доступом в Интернет</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lastRenderedPageBreak/>
        <w:t>Минздрав внес поправки, в соответствии с которыми:</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 уточняется рекомендуемая структура поликлиники; - перечисляются отделения (кабинеты) первичной специализированной медико-санитарной помощи и диагностические отделения (кабинеты), которые рекомендуется предусматривать в структуре поликлиники в зависимости от численности прикрепленного населения. Также установлен стандарт оснащения: - отделения (кабинета) УЗИ; - рентгеновского кабинета; - кабинетов для проведения флюорографии, маммографии, МРТ и КТ; - прививочного кабинета.</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Рабочие места врача (фельдшера), акушера-гинеколога (акушерки) и медсестры врачебной амбулатории (фельдшерско-акушерского пункта, фельдшерского здравпункта) должны быть оснащены компьютером с выходом в Интернет. При наличии должностей врача акушера-гинеколога (акушерки) также потребуются набор гинекологических инструментов и кольпоскоп (Приказ Министерства здравоохранения РФ от 3 декабря 2019 г. N 984н "О внесении изменений в Положение об организации оказания первичной медико-санитарной помощи взрослому населению, утвержденное приказом Министерства здравоохранения и социального развития Российской Федерации от 15 мая 2012 г. N 543н").</w:t>
      </w:r>
    </w:p>
    <w:p w:rsidR="00093907" w:rsidRPr="00093907" w:rsidRDefault="00093907" w:rsidP="00093907">
      <w:pPr>
        <w:pStyle w:val="1"/>
        <w:jc w:val="right"/>
        <w:rPr>
          <w:rFonts w:ascii="Times New Roman" w:hAnsi="Times New Roman"/>
          <w:sz w:val="24"/>
          <w:szCs w:val="24"/>
        </w:rPr>
      </w:pPr>
    </w:p>
    <w:p w:rsidR="00093907" w:rsidRPr="00093907" w:rsidRDefault="00093907" w:rsidP="00093907">
      <w:pPr>
        <w:pStyle w:val="1"/>
        <w:jc w:val="right"/>
        <w:rPr>
          <w:rFonts w:ascii="Times New Roman" w:hAnsi="Times New Roman"/>
          <w:sz w:val="24"/>
          <w:szCs w:val="24"/>
        </w:rPr>
      </w:pPr>
      <w:r w:rsidRPr="00093907">
        <w:rPr>
          <w:rFonts w:ascii="Times New Roman" w:hAnsi="Times New Roman"/>
          <w:sz w:val="24"/>
          <w:szCs w:val="24"/>
        </w:rPr>
        <w:t>Помощник прокурора Чановского района</w:t>
      </w:r>
    </w:p>
    <w:p w:rsidR="00093907" w:rsidRPr="00093907" w:rsidRDefault="00093907" w:rsidP="00093907">
      <w:pPr>
        <w:pStyle w:val="1"/>
        <w:jc w:val="right"/>
        <w:rPr>
          <w:rFonts w:ascii="Times New Roman" w:hAnsi="Times New Roman"/>
          <w:sz w:val="24"/>
          <w:szCs w:val="24"/>
        </w:rPr>
      </w:pPr>
      <w:r w:rsidRPr="00093907">
        <w:rPr>
          <w:rFonts w:ascii="Times New Roman" w:hAnsi="Times New Roman"/>
          <w:sz w:val="24"/>
          <w:szCs w:val="24"/>
        </w:rPr>
        <w:t>С.С. Бармин</w:t>
      </w:r>
    </w:p>
    <w:p w:rsidR="00093907" w:rsidRPr="00093907" w:rsidRDefault="00093907" w:rsidP="00093907">
      <w:pPr>
        <w:spacing w:before="100" w:beforeAutospacing="1" w:after="100" w:afterAutospacing="1"/>
        <w:jc w:val="center"/>
        <w:rPr>
          <w:b/>
          <w:color w:val="000000"/>
        </w:rPr>
      </w:pPr>
      <w:r w:rsidRPr="00093907">
        <w:rPr>
          <w:b/>
          <w:color w:val="000000"/>
        </w:rPr>
        <w:t>Утверждены рекомендации по организации питания детей, страдающих заболеваниями, сопровождающимися ограничениями в питании</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Главным государственным санитарным врачом Российской Федерации 30.12.2019 утверждены рекомендации по организации питания детей, страдающих сахарным диабетом и иными заболеваниями, сопровождающимися ограничениями в питании. документом устанавливается: - перечень продуктов промышленного производства, которые могут содержать скрытый глютен; - рекомендуемые наборы продуктов по приемам пищи для организации питания детей с сахарным диабетом; - набор технологических карт на блюда для питания детей с сахарным диабетом. Информацию о калорийности меню, содержании белков, жиров и углеводов, используемых продуктах для питания детей с сахарным диабетом, рекомендуется доводить до родителей (законных представителей детей) с использованием сайта образовательной (оздоровительной) организации.</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Для детей с сахарным диабетом, приносящих продукты и готовые блюда из дома, в столовой рекомендуется обеспечить условия их хранения (холодильник, шкаф) и разогрева (микроволновая печь).</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С целью обеспечения безопасных для ребенка с сахарным диабетом условий воспитания и обучения, отдыха и оздоровления, администрации организации совместно с родителями рекомендуется проработать вопросы режима питания ребенка, порядка контроля уровня сахара в крови и введения инсулина; проинформировать классного руководителя (воспитателя), учителя физической культуры (инструктора по физической культуре), работников столовой о наличии у ребенка сахарного диабета; проинструктировать о симптомах гипогликемии, мерах первой помощи и профилактики.</w:t>
      </w:r>
    </w:p>
    <w:p w:rsidR="00093907" w:rsidRPr="00093907" w:rsidRDefault="00093907" w:rsidP="00093907">
      <w:pPr>
        <w:spacing w:before="100" w:beforeAutospacing="1" w:after="100" w:afterAutospacing="1"/>
        <w:jc w:val="right"/>
        <w:rPr>
          <w:color w:val="000000"/>
        </w:rPr>
      </w:pPr>
      <w:r w:rsidRPr="00093907">
        <w:rPr>
          <w:color w:val="000000"/>
        </w:rPr>
        <w:t>Помощник прокурора Чановского района</w:t>
      </w:r>
    </w:p>
    <w:p w:rsidR="00093907" w:rsidRPr="00093907" w:rsidRDefault="00093907" w:rsidP="00093907">
      <w:pPr>
        <w:spacing w:before="100" w:beforeAutospacing="1" w:after="100" w:afterAutospacing="1"/>
        <w:jc w:val="right"/>
        <w:rPr>
          <w:color w:val="000000"/>
        </w:rPr>
      </w:pPr>
      <w:r w:rsidRPr="00093907">
        <w:rPr>
          <w:color w:val="000000"/>
        </w:rPr>
        <w:t>С.С. Бармин</w:t>
      </w:r>
    </w:p>
    <w:p w:rsidR="00093907" w:rsidRPr="00093907" w:rsidRDefault="00093907" w:rsidP="00093907">
      <w:pPr>
        <w:spacing w:before="100" w:beforeAutospacing="1" w:after="100" w:afterAutospacing="1"/>
        <w:jc w:val="center"/>
        <w:rPr>
          <w:b/>
          <w:color w:val="000000"/>
        </w:rPr>
      </w:pPr>
      <w:r w:rsidRPr="00093907">
        <w:rPr>
          <w:b/>
          <w:color w:val="000000"/>
        </w:rPr>
        <w:t>О состоянии преступности в Чановском районе за период 2019 года</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lastRenderedPageBreak/>
        <w:t>Количество зарегистрированных преступлений по сравнению с аналогичным периодом прошлого года увеличилось и составило – 310 (АППГ - 251). Расследовано 232 преступления против 222 за АППГ. Приостановлено расследование по 40 преступлениям, что больше АППГ на 3 преступления. Прекращено из расследованных 36 (АППГ – 34). Процент расследованных преступлений за истекший период 2019 года составил 85,3 % (АППГ – 85,7). В целом объем регистрируемой преступности увеличился на 59 преступлений, процент расследованных на уровне прошлого года.</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Преступлений, по которым предварительное следствие не обязательно зарегистрировано – 159, АППГ – 126. Расследовано 133 преступления, АППГ - 117. Процент расследованных преступлений составил – 91,7, за АППГ – 89,3.</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Преступлений, следствие по которым обязательно зарегистрировано - 151, АППГ – 125. Расследовано 99 преступлений, что на 6 меньше, чем в 2018 году. Процент расследованных преступлений составил – 78, АППГ – 82.</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Зарегистрировано особо тяжких преступлений – 3, АППГ – 4. Зарегистрировано 63 тяжких преступления, АППГ – 42.</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По видам оперативная обстановка складывалась следующим образом:</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преступления против личности всего – 37 (АППГ –36);</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убийства – 2 (АППГ – 2), расследовано – 1 (АППГ – 2);</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причинение тяжкого вреда здоровью – 8 (АППГ – 5), расследовано –9 (АППГ – 6);</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грабежи – 2 (АППГ – 4), расследовано – 2 (АППГ – 4);</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кражи – 118 (АППГ – 111), расследовано – 74 (АППГ – 82);</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кражи из квартир – 30 (АППГ – 20), расследовано – 26 (АППГ -19);</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разбои – 0 (АППГ – 0);</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хулиганство – 0 (АППГ – 0);</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преступлений по линии незаконного оборота наркотиков – 14 (АППГ – 15);</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преступлений, совершенных несовершеннолетними – 15(АППГ – 10), из них ранее судимыми – 0 (АППГ – 0);</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всего ранее судимыми совершено – 92 преступления (АППГ – 91), удельный вес 40,2 % (АППГ – 41,9%).</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группой лиц – 19 (АППГ – 26);</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в общественных местах – 50 (АПГГ – 40);</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в состоянии опьянения – 117 (АППГ – 128), удельный вес составляет – 51% (АППГ – 57%).</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Анализ состояния преступности показывает, что за истекший период 2019 года количество зарегистрированных преступлений увеличилось на 59 преступлений, нераскрыто 40 преступлений (АППГ – 37), процент расследованных 85,3 %, что на уровне прошлого года.</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Основными преступлениями по-прежнему являются преступления против собственности, которые составляют более 50 % от общего числа зарегистрированных преступлений. Причиной роста такой категории преступлений явилось сокращение рабочих мест, низкий заработок граждан в</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сравнении с рыночными ценами товаров и услуг, а также лицами без постоянного источника дохода.</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Основная причина увеличения объема регистрируемой преступности, в том числе тяжких преступлений, это рост преступлений, предусмотренных п. «г» ч. 3 ст. 158 УК РФ, которые в большинстве являются нераскрытыми преступлениями, рост преступлений против личности (ст. 111 ч. 2 УК РФ), совершенные женщинами, ранее не состоявшими на профилактическом учете. Также одной из причин является недостаточная профилактическая работа, несмотря на увеличение количества привлеченных лиц к административной ответственности за нарушения общественного порядка.</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lastRenderedPageBreak/>
        <w:t>Тем не менее, работа профилактического характера проводится, как самостоятельно правоохранительными органами, так и во взаимодействии, путем проведения рейдовых мероприятий.</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В результате принятых прокуратурой района мер координационного характера, мер профилактического характера сотрудниками ОМВД и УИИ, удалось сократить совершение преступлений в состоянии алкогольного опьянения, ранее судимыми лицами, роста особо тяжких преступлений.</w:t>
      </w:r>
    </w:p>
    <w:p w:rsidR="00093907" w:rsidRPr="00093907" w:rsidRDefault="00093907" w:rsidP="00093907">
      <w:pPr>
        <w:pStyle w:val="1"/>
        <w:jc w:val="both"/>
        <w:rPr>
          <w:rFonts w:ascii="Times New Roman" w:hAnsi="Times New Roman"/>
          <w:sz w:val="24"/>
          <w:szCs w:val="24"/>
        </w:rPr>
      </w:pPr>
      <w:r w:rsidRPr="00093907">
        <w:rPr>
          <w:rFonts w:ascii="Times New Roman" w:hAnsi="Times New Roman"/>
          <w:sz w:val="24"/>
          <w:szCs w:val="24"/>
        </w:rPr>
        <w:t>В целях улучшения раскрываемости преступлений в 2019 году проведены координационные и межведомственные совещания, направленные на выявление и раскрытие преступлений по отдельным категориям, тяжких преступлений против личности, в сфере противодействия коррупции, незаконного оборота наркотических средств и другие.</w:t>
      </w:r>
    </w:p>
    <w:p w:rsidR="00093907" w:rsidRPr="00093907" w:rsidRDefault="00093907" w:rsidP="00093907">
      <w:pPr>
        <w:pStyle w:val="1"/>
        <w:jc w:val="right"/>
        <w:rPr>
          <w:rFonts w:ascii="Times New Roman" w:hAnsi="Times New Roman"/>
          <w:sz w:val="24"/>
          <w:szCs w:val="24"/>
        </w:rPr>
      </w:pPr>
    </w:p>
    <w:p w:rsidR="00093907" w:rsidRPr="00093907" w:rsidRDefault="00093907" w:rsidP="00093907">
      <w:pPr>
        <w:pStyle w:val="1"/>
        <w:jc w:val="right"/>
        <w:rPr>
          <w:rFonts w:ascii="Times New Roman" w:hAnsi="Times New Roman"/>
          <w:sz w:val="24"/>
          <w:szCs w:val="24"/>
        </w:rPr>
      </w:pPr>
      <w:r w:rsidRPr="00093907">
        <w:rPr>
          <w:rFonts w:ascii="Times New Roman" w:hAnsi="Times New Roman"/>
          <w:sz w:val="24"/>
          <w:szCs w:val="24"/>
        </w:rPr>
        <w:t>Заместитель прокурора</w:t>
      </w:r>
    </w:p>
    <w:p w:rsidR="00093907" w:rsidRPr="00093907" w:rsidRDefault="00093907" w:rsidP="00093907">
      <w:pPr>
        <w:pStyle w:val="1"/>
        <w:jc w:val="right"/>
        <w:rPr>
          <w:rFonts w:ascii="Times New Roman" w:hAnsi="Times New Roman"/>
          <w:sz w:val="24"/>
          <w:szCs w:val="24"/>
        </w:rPr>
      </w:pPr>
      <w:r w:rsidRPr="00093907">
        <w:rPr>
          <w:rFonts w:ascii="Times New Roman" w:hAnsi="Times New Roman"/>
          <w:sz w:val="24"/>
          <w:szCs w:val="24"/>
        </w:rPr>
        <w:t>Чановского района</w:t>
      </w:r>
    </w:p>
    <w:p w:rsidR="00093907" w:rsidRPr="00093907" w:rsidRDefault="00093907" w:rsidP="00093907">
      <w:pPr>
        <w:pStyle w:val="1"/>
        <w:jc w:val="right"/>
        <w:rPr>
          <w:rFonts w:ascii="Times New Roman" w:hAnsi="Times New Roman"/>
          <w:sz w:val="24"/>
          <w:szCs w:val="24"/>
        </w:rPr>
      </w:pPr>
      <w:r w:rsidRPr="00093907">
        <w:rPr>
          <w:rFonts w:ascii="Times New Roman" w:hAnsi="Times New Roman"/>
          <w:sz w:val="24"/>
          <w:szCs w:val="24"/>
        </w:rPr>
        <w:t>А.Е. Островерхова</w:t>
      </w:r>
    </w:p>
    <w:p w:rsidR="00906A6E" w:rsidRDefault="00906A6E"/>
    <w:sectPr w:rsidR="00906A6E" w:rsidSect="00906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3907"/>
    <w:rsid w:val="00093907"/>
    <w:rsid w:val="00906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9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093907"/>
    <w:rPr>
      <w:rFonts w:ascii="Calibri" w:hAnsi="Calibri" w:cs="Arial"/>
      <w:sz w:val="20"/>
      <w:szCs w:val="20"/>
      <w:lang w:eastAsia="ru-RU"/>
    </w:rPr>
  </w:style>
  <w:style w:type="paragraph" w:styleId="a4">
    <w:name w:val="No Spacing"/>
    <w:link w:val="a3"/>
    <w:uiPriority w:val="1"/>
    <w:qFormat/>
    <w:rsid w:val="00093907"/>
    <w:pPr>
      <w:spacing w:after="0" w:line="240" w:lineRule="auto"/>
    </w:pPr>
    <w:rPr>
      <w:rFonts w:ascii="Calibri" w:hAnsi="Calibri" w:cs="Arial"/>
      <w:sz w:val="20"/>
      <w:szCs w:val="20"/>
      <w:lang w:eastAsia="ru-RU"/>
    </w:rPr>
  </w:style>
  <w:style w:type="character" w:customStyle="1" w:styleId="NoSpacingChar">
    <w:name w:val="No Spacing Char"/>
    <w:basedOn w:val="a0"/>
    <w:link w:val="1"/>
    <w:locked/>
    <w:rsid w:val="00093907"/>
    <w:rPr>
      <w:rFonts w:ascii="Calibri" w:eastAsia="Times New Roman" w:hAnsi="Calibri" w:cs="Times New Roman"/>
    </w:rPr>
  </w:style>
  <w:style w:type="paragraph" w:customStyle="1" w:styleId="1">
    <w:name w:val="Без интервала1"/>
    <w:link w:val="NoSpacingChar"/>
    <w:qFormat/>
    <w:rsid w:val="0009390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3155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4219</Words>
  <Characters>24050</Characters>
  <Application>Microsoft Office Word</Application>
  <DocSecurity>0</DocSecurity>
  <Lines>200</Lines>
  <Paragraphs>56</Paragraphs>
  <ScaleCrop>false</ScaleCrop>
  <Company/>
  <LinksUpToDate>false</LinksUpToDate>
  <CharactersWithSpaces>28213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2024-02-29T02:39:00Z</dcterms:created>
  <dcterms:modified xsi:type="dcterms:W3CDTF">2024-02-29T02:40:00Z</dcterms:modified>
</cp:coreProperties>
</file>