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78" w:rsidRPr="00EC5B78" w:rsidRDefault="00EC5B78" w:rsidP="00EC5B78">
      <w:pPr>
        <w:spacing w:before="100" w:beforeAutospacing="1" w:after="100" w:afterAutospacing="1"/>
        <w:jc w:val="right"/>
        <w:rPr>
          <w:b/>
          <w:color w:val="000000"/>
        </w:rPr>
      </w:pPr>
      <w:r w:rsidRPr="00EC5B78">
        <w:rPr>
          <w:b/>
          <w:color w:val="000000"/>
        </w:rPr>
        <w:t>Прокуратура разъясняет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За совершение коррупционного правонарушения директор ООО «Покровка» Архипов Сергей привлечен к административной ответственности по ст. 19.29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Являясь директором указанной </w:t>
      </w:r>
      <w:proofErr w:type="gramStart"/>
      <w:r w:rsidRPr="00EC5B78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EC5B78">
        <w:rPr>
          <w:rFonts w:ascii="Times New Roman" w:hAnsi="Times New Roman" w:cs="Times New Roman"/>
          <w:sz w:val="24"/>
          <w:szCs w:val="24"/>
        </w:rPr>
        <w:t xml:space="preserve"> Архипов Сергей в 2017 году принял на работу бывшего муниципального служащего, однако информацию о заключении трудового договора с работником по последнему месту службы не направил чем нарушил требования статьи 64.1 Трудового кодекса РФ и части 4 статьи 12 Федерального закона «О противодействии коррупции» выполнены не были, в связи с чем, постановлением мирового судьи виновное должностное лицо подвергнуто административному штрафу в размере 20 000 рублей.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Постановление суда не вступило в законную силу.</w:t>
      </w:r>
    </w:p>
    <w:p w:rsidR="00EC5B78" w:rsidRPr="00EC5B78" w:rsidRDefault="00EC5B78" w:rsidP="00EC5B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5B78" w:rsidRPr="00EC5B78" w:rsidRDefault="00EC5B78" w:rsidP="00EC5B7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C5B78" w:rsidRPr="00EC5B78" w:rsidRDefault="00EC5B78" w:rsidP="00EC5B78">
      <w:pPr>
        <w:spacing w:before="100" w:beforeAutospacing="1" w:after="100" w:afterAutospacing="1"/>
        <w:jc w:val="center"/>
        <w:rPr>
          <w:b/>
          <w:color w:val="000000"/>
        </w:rPr>
      </w:pPr>
      <w:r w:rsidRPr="00EC5B78">
        <w:rPr>
          <w:b/>
          <w:color w:val="000000"/>
        </w:rPr>
        <w:t>О внесении изменений в законодательство о контрактной системе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С 01.05.2019 вступили в силу изменения, внесенные Федеральным законом от 01.05.2019 № 69-ФЗ в статьи 56 и 56.1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Согласно законодательной новелле введены ограничения для организаций, которые могут принимать участие в конкурсе на предоставление таких услуг. Установлена обязанность заказчиков осуществлять закупки услуг по организации отдыха детей и их оздоровлению путем проведения конкурса с ограниченным участием и конкурса с ограниченным участием в электронной форме.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B78">
        <w:rPr>
          <w:rFonts w:ascii="Times New Roman" w:hAnsi="Times New Roman" w:cs="Times New Roman"/>
          <w:sz w:val="24"/>
          <w:szCs w:val="24"/>
        </w:rPr>
        <w:t xml:space="preserve">Под конкурсом с ограниченным участием понимается конкурс,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документации,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закупки, прошедших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предквалификационный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отбор.</w:t>
      </w:r>
      <w:proofErr w:type="gramEnd"/>
    </w:p>
    <w:p w:rsidR="00EC5B78" w:rsidRPr="00EC5B78" w:rsidRDefault="00EC5B78" w:rsidP="00EC5B78">
      <w:pPr>
        <w:spacing w:before="100" w:beforeAutospacing="1" w:after="100" w:afterAutospacing="1"/>
        <w:jc w:val="right"/>
        <w:rPr>
          <w:color w:val="000000"/>
        </w:rPr>
      </w:pPr>
      <w:r w:rsidRPr="00EC5B78">
        <w:rPr>
          <w:color w:val="000000"/>
        </w:rPr>
        <w:t>Помощник прокурора</w:t>
      </w:r>
    </w:p>
    <w:p w:rsidR="00EC5B78" w:rsidRPr="00EC5B78" w:rsidRDefault="00EC5B78" w:rsidP="00EC5B78">
      <w:pPr>
        <w:spacing w:before="100" w:beforeAutospacing="1" w:after="100" w:afterAutospacing="1"/>
        <w:jc w:val="right"/>
        <w:rPr>
          <w:color w:val="000000"/>
        </w:rPr>
      </w:pPr>
      <w:r w:rsidRPr="00EC5B78">
        <w:rPr>
          <w:color w:val="000000"/>
        </w:rPr>
        <w:t xml:space="preserve">юрист 1 класса С.С. </w:t>
      </w:r>
      <w:proofErr w:type="spellStart"/>
      <w:r w:rsidRPr="00EC5B78">
        <w:rPr>
          <w:color w:val="000000"/>
        </w:rPr>
        <w:t>Бармин</w:t>
      </w:r>
      <w:proofErr w:type="spellEnd"/>
    </w:p>
    <w:p w:rsidR="00EC5B78" w:rsidRPr="00EC5B78" w:rsidRDefault="00EC5B78" w:rsidP="00EC5B78">
      <w:pPr>
        <w:spacing w:before="100" w:beforeAutospacing="1" w:after="100" w:afterAutospacing="1"/>
        <w:jc w:val="center"/>
        <w:rPr>
          <w:b/>
          <w:color w:val="000000"/>
        </w:rPr>
      </w:pPr>
      <w:r w:rsidRPr="00EC5B78">
        <w:rPr>
          <w:b/>
          <w:color w:val="000000"/>
        </w:rPr>
        <w:t>Налоговые льготы многодетным семьям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Федеральным законом от 15 апреля 2019 года № 63-ФЗ «О внесении изменений в часть вторую Налогового кодекса РФ и статью 9 Федерального закона «О внесении изменений в части первую и вторую Налогового кодекса РФ и отдельные законодательные акты Российской Федерации о налогах и сборах» предусмотрено предоставление дополнительных налоговых льгот многодетным семьям.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При наличии сведений о количестве детей налогоплательщика инспекция самостоятельно предоставит вышеуказанным физическим лицам льготы по налогу на имущество и земельному налогу. Однако целесообразно обратиться в налоговый орган с заявлением о предоставлении льготы до начала формирования налоговых уведомлений за 2018 год. Следует напомнить, что закон уточняет исчисление налога на имущество физических лиц в случае разрушения объекта, транспортного налога в случае угона автомобиля.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Юридические лица перестанут предоставлять декларации по земельному и транспортному налогу. По налогу на имущество организаций можно будет представить одну декларацию, </w:t>
      </w:r>
      <w:r w:rsidRPr="00EC5B78">
        <w:rPr>
          <w:rFonts w:ascii="Times New Roman" w:hAnsi="Times New Roman" w:cs="Times New Roman"/>
          <w:sz w:val="24"/>
          <w:szCs w:val="24"/>
        </w:rPr>
        <w:lastRenderedPageBreak/>
        <w:t>если налогоплательщик состоит на учете в нескольких инспекциях по месту нахождения принадлежащих объектов недвижимости.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Кроме того, индивидуальные предприниматели и лица, занимающиеся частной практики, вместо подачи декларации о предполагаемом доходе по форме 4-НДФЛ с 2020 года будут уплачивать авансовые платежи. Указанные изменения вступили в силу, за исключением некоторых положений, для которых установлены отдельные сроки.</w:t>
      </w:r>
    </w:p>
    <w:p w:rsidR="00EC5B78" w:rsidRPr="00EC5B78" w:rsidRDefault="00EC5B78" w:rsidP="00EC5B78">
      <w:pPr>
        <w:spacing w:before="100" w:beforeAutospacing="1" w:after="100" w:afterAutospacing="1"/>
        <w:jc w:val="right"/>
        <w:rPr>
          <w:color w:val="000000"/>
        </w:rPr>
      </w:pPr>
      <w:r w:rsidRPr="00EC5B78">
        <w:rPr>
          <w:color w:val="000000"/>
        </w:rPr>
        <w:t>Помощник прокурора</w:t>
      </w:r>
    </w:p>
    <w:p w:rsidR="00EC5B78" w:rsidRPr="00EC5B78" w:rsidRDefault="00EC5B78" w:rsidP="00EC5B78">
      <w:pPr>
        <w:spacing w:before="100" w:beforeAutospacing="1" w:after="100" w:afterAutospacing="1"/>
        <w:jc w:val="right"/>
        <w:rPr>
          <w:color w:val="000000"/>
        </w:rPr>
      </w:pPr>
      <w:r w:rsidRPr="00EC5B78">
        <w:rPr>
          <w:color w:val="000000"/>
        </w:rPr>
        <w:t xml:space="preserve">юрист 1 класса С.С. </w:t>
      </w:r>
      <w:proofErr w:type="spellStart"/>
      <w:r w:rsidRPr="00EC5B78">
        <w:rPr>
          <w:color w:val="000000"/>
        </w:rPr>
        <w:t>Бармин</w:t>
      </w:r>
      <w:proofErr w:type="spellEnd"/>
    </w:p>
    <w:p w:rsidR="00EC5B78" w:rsidRPr="00EC5B78" w:rsidRDefault="00EC5B78" w:rsidP="00EC5B78">
      <w:pPr>
        <w:spacing w:before="100" w:beforeAutospacing="1" w:after="100" w:afterAutospacing="1"/>
        <w:jc w:val="right"/>
        <w:rPr>
          <w:color w:val="000000"/>
        </w:rPr>
      </w:pPr>
    </w:p>
    <w:p w:rsidR="00EC5B78" w:rsidRPr="00EC5B78" w:rsidRDefault="00EC5B78" w:rsidP="00EC5B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78">
        <w:rPr>
          <w:rFonts w:ascii="Times New Roman" w:hAnsi="Times New Roman" w:cs="Times New Roman"/>
          <w:b/>
          <w:sz w:val="24"/>
          <w:szCs w:val="24"/>
        </w:rPr>
        <w:t xml:space="preserve">Вступили в силу </w:t>
      </w:r>
      <w:proofErr w:type="gramStart"/>
      <w:r w:rsidRPr="00EC5B78">
        <w:rPr>
          <w:rFonts w:ascii="Times New Roman" w:hAnsi="Times New Roman" w:cs="Times New Roman"/>
          <w:b/>
          <w:sz w:val="24"/>
          <w:szCs w:val="24"/>
        </w:rPr>
        <w:t>правила уведомления правообладателей некоторых объектов недвижимости</w:t>
      </w:r>
      <w:proofErr w:type="gramEnd"/>
    </w:p>
    <w:p w:rsidR="00EC5B78" w:rsidRPr="00EC5B78" w:rsidRDefault="00EC5B78" w:rsidP="00EC5B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78">
        <w:rPr>
          <w:rFonts w:ascii="Times New Roman" w:hAnsi="Times New Roman" w:cs="Times New Roman"/>
          <w:b/>
          <w:sz w:val="24"/>
          <w:szCs w:val="24"/>
        </w:rPr>
        <w:t>о необходимости их сноса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С 26 мая 2019 года вступили в силу Правила уведомления правообладателей о том, что такие здание, сооружение, объект незавершенного строительства подлежат сносу или приведению в соответствие с ограничениями использования земельных участков, установленными в границах зоны с особыми условиями использования территории (утв. Постановлением Правительства РФ от 13.05.2019 №588).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Теперь правообладатели объектов недвижимости считаются уведомленными по истечении 10 календарных дней со дня направления им уведомления по почте при условии его опубликования и размещения на официальном сайте органа местного самоуправления.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Правообладателями в данном случае являются собственников здания, сооружения, помещений в них (в том числе собственников помещений в многоквартирном доме), объекта незавершенного строительства, а также нанимателей жилых помещений по договорам социального найма или договорам найма жилых помещений государственного и муниципального жилищного фонда в многоквартирных домах.</w:t>
      </w:r>
    </w:p>
    <w:p w:rsidR="00EC5B78" w:rsidRPr="00EC5B78" w:rsidRDefault="00EC5B78" w:rsidP="00EC5B78">
      <w:pPr>
        <w:spacing w:before="100" w:beforeAutospacing="1" w:after="100" w:afterAutospacing="1"/>
        <w:jc w:val="right"/>
        <w:rPr>
          <w:color w:val="000000"/>
        </w:rPr>
      </w:pPr>
      <w:r w:rsidRPr="00EC5B78">
        <w:rPr>
          <w:color w:val="000000"/>
        </w:rPr>
        <w:t>Помощник прокурора</w:t>
      </w:r>
    </w:p>
    <w:p w:rsidR="00EC5B78" w:rsidRPr="00EC5B78" w:rsidRDefault="00EC5B78" w:rsidP="00EC5B78">
      <w:pPr>
        <w:spacing w:before="100" w:beforeAutospacing="1" w:after="100" w:afterAutospacing="1"/>
        <w:jc w:val="right"/>
        <w:rPr>
          <w:color w:val="000000"/>
        </w:rPr>
      </w:pPr>
      <w:r w:rsidRPr="00EC5B78">
        <w:rPr>
          <w:color w:val="000000"/>
        </w:rPr>
        <w:t xml:space="preserve">юрист 1 класса С.С. </w:t>
      </w:r>
      <w:proofErr w:type="spellStart"/>
      <w:r w:rsidRPr="00EC5B78">
        <w:rPr>
          <w:color w:val="000000"/>
        </w:rPr>
        <w:t>Бармин</w:t>
      </w:r>
      <w:proofErr w:type="spellEnd"/>
    </w:p>
    <w:p w:rsidR="00EC5B78" w:rsidRPr="00EC5B78" w:rsidRDefault="00EC5B78" w:rsidP="00EC5B78">
      <w:pPr>
        <w:spacing w:before="100" w:beforeAutospacing="1" w:after="100" w:afterAutospacing="1"/>
        <w:jc w:val="center"/>
        <w:rPr>
          <w:b/>
          <w:color w:val="000000"/>
        </w:rPr>
      </w:pPr>
      <w:r w:rsidRPr="00EC5B78">
        <w:rPr>
          <w:b/>
          <w:color w:val="000000"/>
        </w:rPr>
        <w:t>Определение границ земельного участка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Анализ практики рассмотрения обращений граждан по вопросам исполнения земельного законодательства свидетельствует о распространенности проблемы несоответствия сведений о границах смежных земельных участков, внесенных в Единый государственный реестр недвижимости (далее - ЕГРН), их фактическому расположению. При этом в большинстве случаев у собственников смежных участков отсутствует спор о месте прохождения границы.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Разрешение подобных ситуаций возможно в рамках предусмотренных законодательством процедур регистрации недвижимости без обращения в суд, что зачастую гражданами не используется.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Так, в соответствии со ст.ст. 43, 61 Федерального закона от 13.07.2015 № 218-ФЗ «О государственной регистрации недвижимости» предусмотрена возможность уточнения общей границы нескольких земельных участков в случае, если содержащиеся в ЕГРН сведений о ней являются ошибочными.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В целях внесения соответствующих изменений в ЕГРН заинтересованному лицу необходимо обратиться к кадастровому инженеру за выполнением кадастровых работ в отношении земельных участков, граница которых является ошибочной. </w:t>
      </w:r>
      <w:proofErr w:type="gramStart"/>
      <w:r w:rsidRPr="00EC5B78">
        <w:rPr>
          <w:rFonts w:ascii="Times New Roman" w:hAnsi="Times New Roman" w:cs="Times New Roman"/>
          <w:sz w:val="24"/>
          <w:szCs w:val="24"/>
        </w:rPr>
        <w:t xml:space="preserve">В ходе </w:t>
      </w:r>
      <w:r w:rsidRPr="00EC5B78">
        <w:rPr>
          <w:rFonts w:ascii="Times New Roman" w:hAnsi="Times New Roman" w:cs="Times New Roman"/>
          <w:sz w:val="24"/>
          <w:szCs w:val="24"/>
        </w:rPr>
        <w:lastRenderedPageBreak/>
        <w:t>кадастровых работ местоположение общей границы согласно ст. 22 Федерального закона от 13.07.2015 № 218-ФЗ «О государственной регистрации недвижимости» подлежит определению на основании из сведений, содержащихся в документе, подтверждающем право на земельный участок, или при отсутствии такого документа исходя из сведений, содержащихся в документах, определявших местоположение границ земельного участка при его образовании.</w:t>
      </w:r>
      <w:proofErr w:type="gramEnd"/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При отсутствии данных сведений граница подлежит определению по фактическому использованию, сложившемуся за период 15 и более лет. Также в рамках межевания кадастровый инженер обеспечивает согласование с заинтересованными лицами местоположения уточняемой границы.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Процедура уточнения сведений о местоположении границ земельных участков завершается обращением заинтересованного лица с заявлением об осуществлении кадастрового учета в органы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>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Помощник прокурора</w:t>
      </w: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юрист 1 класса С.С.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Бармин</w:t>
      </w:r>
      <w:proofErr w:type="spellEnd"/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B78">
        <w:rPr>
          <w:rFonts w:ascii="Times New Roman" w:hAnsi="Times New Roman" w:cs="Times New Roman"/>
          <w:b/>
          <w:sz w:val="24"/>
          <w:szCs w:val="24"/>
        </w:rPr>
        <w:t>Установлены таксы исчисления ущерба для целей статьи 258 УК РФ (незаконная охота)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Постановлением Правительства РФ от 10.06.2019 N 75 «Об утверждении такс и методики исчисления крупного и особо крупного ущерба для целей статьи 258 Уголовного кодекса Российской Федерации» приводятся виды охотничьих ресурсов и таксы для исчисления крупного и особо крупного ущерба (в рублях за одну особь).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Так, например, для рыси и косули установлена ставка в размере 40000 рублей за одну особь, для барсука- 12000 рублей, уток – 600 рублей.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Также указанным постановлением утверждена формула, с использованием которой исчисляется крупный и особо крупный ущерб, включающая в себя, в том числе, такие показатели, как вид и количество добытых охотничьих ресурсов.</w:t>
      </w: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Заместитель прокурора</w:t>
      </w: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Чановского района</w:t>
      </w: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А.Е.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Островерхова</w:t>
      </w:r>
      <w:proofErr w:type="spellEnd"/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B78" w:rsidRPr="00EC5B78" w:rsidRDefault="00EC5B78" w:rsidP="00EC5B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78">
        <w:rPr>
          <w:rFonts w:ascii="Times New Roman" w:hAnsi="Times New Roman" w:cs="Times New Roman"/>
          <w:b/>
          <w:sz w:val="24"/>
          <w:szCs w:val="24"/>
        </w:rPr>
        <w:t>Ужесточена уголовная ответственности за гибель людей в ДТП по вине водителя, находящегося в состоянии алкогольного опьянения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Президентом Российской Федерации Путиным В.В. подписан Федеральный закон №146 от 17.06.2019 об ужесточении уголовной ответственности за гибель людей в дорожно-транспортном происшествии по вине водителя, находящегося в состоянии алкогольного опьянения.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В частности внесены изменения в ч. 2 ст. 264 УК РФ - нарушение лицом, управляющим автомобилем, трамваем либо другим механическим транспортным средством, правил дорожного движения или эксплуатации транспортных средств, повлекшее по неосторожности причинение тяжкого вреда здоровью человека, если оно совершено </w:t>
      </w:r>
      <w:proofErr w:type="gramStart"/>
      <w:r w:rsidRPr="00EC5B78">
        <w:rPr>
          <w:rFonts w:ascii="Times New Roman" w:hAnsi="Times New Roman" w:cs="Times New Roman"/>
          <w:sz w:val="24"/>
          <w:szCs w:val="24"/>
        </w:rPr>
        <w:t>лицом</w:t>
      </w:r>
      <w:proofErr w:type="gramEnd"/>
      <w:r w:rsidRPr="00EC5B78">
        <w:rPr>
          <w:rFonts w:ascii="Times New Roman" w:hAnsi="Times New Roman" w:cs="Times New Roman"/>
          <w:sz w:val="24"/>
          <w:szCs w:val="24"/>
        </w:rPr>
        <w:t xml:space="preserve"> находящимся в состоянии алкогольного опьянения. Ранее по данной статье предусматривалось наказание до 4-х лет лишения свободы. Согласно внесенным изменениям, максимальное наказание будет составлять 7 лет лишения свободы.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Также внесены изменения в </w:t>
      </w:r>
      <w:proofErr w:type="gramStart"/>
      <w:r w:rsidRPr="00EC5B7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C5B78">
        <w:rPr>
          <w:rFonts w:ascii="Times New Roman" w:hAnsi="Times New Roman" w:cs="Times New Roman"/>
          <w:sz w:val="24"/>
          <w:szCs w:val="24"/>
        </w:rPr>
        <w:t>. 4 ст. 264 УК РФ - деяние, предусмотренное ч. 1 ст. 264 УК РФ, повлекшее по неосторожности смерть человека, если оно совершено лицом, находящимся в состоянии опьянения. Ранее по данной статье предусматривалось наказание до 7 лет лишения свободы. Согласно внесенным изменениям, максимальное наказание будет составлять 12 лет лишения свободы.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lastRenderedPageBreak/>
        <w:t xml:space="preserve">Также внесены изменения в </w:t>
      </w:r>
      <w:proofErr w:type="gramStart"/>
      <w:r w:rsidRPr="00EC5B7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C5B78">
        <w:rPr>
          <w:rFonts w:ascii="Times New Roman" w:hAnsi="Times New Roman" w:cs="Times New Roman"/>
          <w:sz w:val="24"/>
          <w:szCs w:val="24"/>
        </w:rPr>
        <w:t>. 6 ст. 264 УК РФ - деяние, предусмотренное ч. 1 ст. 264 УК РФ, повлекшее по неосторожности двух и более лиц, если оно совершено лицом, находящимся в состоянии опьянения. Ранее по данной статье предусматривалось наказание до 9 лет лишения свободы. Согласно внесенным изменениям, максимальное наказание будет составлять 15 лет лишения свободы.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Одним из авторов законопроекта отмечается, что данные изменения вносятся в связи с тем, что предлагается приравнять ответственность за ДТП в состоянии алкогольного опьянения, в котором погибли люди, к ответственности за умышленное убийство.</w:t>
      </w: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Заместитель прокурора</w:t>
      </w: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Чановского района</w:t>
      </w: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А.Е.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Островерхова</w:t>
      </w:r>
      <w:proofErr w:type="spellEnd"/>
    </w:p>
    <w:p w:rsidR="00EC5B78" w:rsidRPr="00EC5B78" w:rsidRDefault="00EC5B78" w:rsidP="00EC5B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B78" w:rsidRPr="00EC5B78" w:rsidRDefault="00EC5B78" w:rsidP="00EC5B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78">
        <w:rPr>
          <w:rFonts w:ascii="Times New Roman" w:hAnsi="Times New Roman" w:cs="Times New Roman"/>
          <w:b/>
          <w:sz w:val="24"/>
          <w:szCs w:val="24"/>
        </w:rPr>
        <w:t xml:space="preserve">Прекращение уголовного дела по </w:t>
      </w:r>
      <w:proofErr w:type="spellStart"/>
      <w:r w:rsidRPr="00EC5B78">
        <w:rPr>
          <w:rFonts w:ascii="Times New Roman" w:hAnsi="Times New Roman" w:cs="Times New Roman"/>
          <w:b/>
          <w:sz w:val="24"/>
          <w:szCs w:val="24"/>
        </w:rPr>
        <w:t>нереабилитирующим</w:t>
      </w:r>
      <w:proofErr w:type="spellEnd"/>
      <w:r w:rsidRPr="00EC5B78">
        <w:rPr>
          <w:rFonts w:ascii="Times New Roman" w:hAnsi="Times New Roman" w:cs="Times New Roman"/>
          <w:b/>
          <w:sz w:val="24"/>
          <w:szCs w:val="24"/>
        </w:rPr>
        <w:t xml:space="preserve"> основаниям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Одним из возможных решений по уголовному делу является его прекращение, в том числе в судебных стадиях уголовного судопроизводства. Основания прекращения уголовного дела делятся </w:t>
      </w:r>
      <w:proofErr w:type="gramStart"/>
      <w:r w:rsidRPr="00EC5B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C5B78">
        <w:rPr>
          <w:rFonts w:ascii="Times New Roman" w:hAnsi="Times New Roman" w:cs="Times New Roman"/>
          <w:sz w:val="24"/>
          <w:szCs w:val="24"/>
        </w:rPr>
        <w:t xml:space="preserve"> реабилитирующие и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нереабилитирующие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>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Статьей 27 УПК РФ предусмотрены следующие основания, по которым может быть прекращено уголовное преследование в отношении подозреваемого и обвиняемого: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- непричастность подозреваемого к совершению преступления;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- отсутствие события преступления;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- отсутствие в деянии состава преступления.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Это так называемые реабилитирующие основания прекращения уголовного преследования, при которых следователь, дознаватель, суд признают за лицом, в отношении которого прекращено уголовное преследование, право на реабилитацию, включающее в себя право на возмещение имущественного вреда, устранение последствий морального вреда и восстановление в трудовых, пенсионных, жилищных и иных правах. Вред, причиненный гражданину в результате уголовного преследования, возмещается государством в полном объеме независимо от вины органа дознания, дознавателя, следователя, прокурора и суда (</w:t>
      </w:r>
      <w:proofErr w:type="gramStart"/>
      <w:r w:rsidRPr="00EC5B7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C5B78">
        <w:rPr>
          <w:rFonts w:ascii="Times New Roman" w:hAnsi="Times New Roman" w:cs="Times New Roman"/>
          <w:sz w:val="24"/>
          <w:szCs w:val="24"/>
        </w:rPr>
        <w:t>.1 ст.133 УПК РФ).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Помимо реабилитирующих оснований, законодатель закрепил такое понятие, как прекращение уголовного преследования по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нереабилитирующему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основанию: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- истечение сроков давности уголовного преследования;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- смерть подозреваемого или обвиняемого;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- вследствие акта амнистии;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- наличие в отношении подозреваемого или обвиняемого вступившего в законную силу приговора по тому же обвинению либо определения суда или постановления судьи о прекращении уголовного дела по тому же обвинению.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Прекращение уголовного преследования по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нереабилитирующему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основанию хотя и предполагает освобождение лица от уголовной ответственности и наказания, но расценивается правоприменительной практикой как основанная на материалах расследования констатация того, что лицо совершило преступление и фактически признало себя виновным. Поэтому прекращение уголовного преследования по данным основаниям имеет такие последствия, как возмещение гражданского иска, заглаживание вреда потерпевшей стороне и т.д.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Прекращение уголовного дела или уголовного преследования по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основанию может также является препятствием для повторного прекращения уголовного дела или уголовного преследования в отношении этого же лица по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нереабилитирующему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основанию. Кроме того, лицо может быть уволено с работы или переведено на менее </w:t>
      </w:r>
      <w:proofErr w:type="gramStart"/>
      <w:r w:rsidRPr="00EC5B78">
        <w:rPr>
          <w:rFonts w:ascii="Times New Roman" w:hAnsi="Times New Roman" w:cs="Times New Roman"/>
          <w:sz w:val="24"/>
          <w:szCs w:val="24"/>
        </w:rPr>
        <w:t>ответственную</w:t>
      </w:r>
      <w:proofErr w:type="gramEnd"/>
      <w:r w:rsidRPr="00EC5B78">
        <w:rPr>
          <w:rFonts w:ascii="Times New Roman" w:hAnsi="Times New Roman" w:cs="Times New Roman"/>
          <w:sz w:val="24"/>
          <w:szCs w:val="24"/>
        </w:rPr>
        <w:t xml:space="preserve"> в случае, если его деяния содержат состав дисциплинарного проступка.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Общим условием для прекращения уголовного преследования по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основаниям является согласие подозреваемого (обвиняемого, подсудимого) на такое </w:t>
      </w:r>
      <w:r w:rsidRPr="00EC5B78">
        <w:rPr>
          <w:rFonts w:ascii="Times New Roman" w:hAnsi="Times New Roman" w:cs="Times New Roman"/>
          <w:sz w:val="24"/>
          <w:szCs w:val="24"/>
        </w:rPr>
        <w:lastRenderedPageBreak/>
        <w:t>прекращение, предполагающее добровольное признание себя виновным в совершении преступления.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B78">
        <w:rPr>
          <w:rFonts w:ascii="Times New Roman" w:hAnsi="Times New Roman" w:cs="Times New Roman"/>
          <w:sz w:val="24"/>
          <w:szCs w:val="24"/>
        </w:rPr>
        <w:t xml:space="preserve">Конституционный Суд Российской Федерации в постановлении от 14.07.2011 № 16-П «По делу о проверке конституционности положений пункта 4 части первой статьи 24 и пункта 1 статьи 254 Уголовно-процессуального кодекса Российской Федерации в связи с жалобами граждан С.И. Александрина и Ю.Ф. Ващенко» указал, что прекращение уголовного дела по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нереабилитирующему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основанию возможно лишь в том случае, если будут обеспечены гарантируемые Конституцией</w:t>
      </w:r>
      <w:proofErr w:type="gramEnd"/>
      <w:r w:rsidRPr="00EC5B78">
        <w:rPr>
          <w:rFonts w:ascii="Times New Roman" w:hAnsi="Times New Roman" w:cs="Times New Roman"/>
          <w:sz w:val="24"/>
          <w:szCs w:val="24"/>
        </w:rPr>
        <w:t xml:space="preserve"> Российской Федерации права участников уголовного судопроизводства, что предполагает, в частности, необходимость получения согласия подозреваемого (обвиняемого) на прекращение уголовного дела. Поэтому Конституционный Суд признал, что в случае смерти подозреваемого (обвиняемого) прекращение уголовного дела по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основаниям возможно только с согласия близких родственников.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Если же лицо, в отношении которого ведется уголовное преследование, или близкий родственник умершего лица возражают против прекращения уголовного судопроизводства по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нереабилитирующему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основанию, должна предоставляться возможность продолжения производства по уголовному делу в общем порядке, вплоть до его направления в суд и судебного разбирательства дела.</w:t>
      </w: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Заместитель прокурора</w:t>
      </w: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Чановского района</w:t>
      </w: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А.Е.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Островерхова</w:t>
      </w:r>
      <w:proofErr w:type="spellEnd"/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C5B78" w:rsidRPr="00EC5B78" w:rsidRDefault="00EC5B78" w:rsidP="00EC5B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78">
        <w:rPr>
          <w:rFonts w:ascii="Times New Roman" w:hAnsi="Times New Roman" w:cs="Times New Roman"/>
          <w:b/>
          <w:sz w:val="24"/>
          <w:szCs w:val="24"/>
        </w:rPr>
        <w:t>Ответственность за незаконное выращивание растений, содержащих наркотические вещества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B78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предусмотрена уголовная ответственность за незаконное выращивание и культивирование запрещённых к возделыванию растений, содержащих наркотические вещества (ст. 231 УК РФ), а также административная ответственность за непринятие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(ст. 10.5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РФ) и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(ст. 10.5.1</w:t>
      </w:r>
      <w:proofErr w:type="gramEnd"/>
      <w:r w:rsidRPr="00EC5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C5B78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РФ).</w:t>
      </w:r>
      <w:proofErr w:type="gramEnd"/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В частности, 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>, квалифицируется как уголовное деяние. Виновные лица за такие деяния наказываются штрафом в размере до 300 тыс. рублей или в размере заработной платы или иного дохода осужденного за период до 2 лет, либо обязательными работами на срок до 480 часов, либо ограничением свободы на срок до 2 лет, либо лишением свободы на тот же срок.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Крупный размер по количеству растений устанавливается для каждого вида флоры отдельно. При этом под культивированием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растений понимается деятельность, связанная с созданием специальных условий для посева и выращивания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Что касается административной ответственности, то статьей 10.5.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РФ установлена ответственность за 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>, после получения официального предписания уполномоченного органа.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lastRenderedPageBreak/>
        <w:t>Такое бездействие влечет наложение административного штрафа на граждан в размере до 2 тыс. рублей, на должностных лиц до 4 тыс. рублей, на юридических лиц до 40 тыс. рублей.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Согласно ст. 10.5.1. </w:t>
      </w:r>
      <w:proofErr w:type="spellStart"/>
      <w:proofErr w:type="gramStart"/>
      <w:r w:rsidRPr="00EC5B78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РФ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>, если это действие не содержит уголовно наказуемого деяния (например, когда растения выращены не в крупном размере), влечет наложение административного штрафа на граждан в размере до 4 тыс. рублей или административный арест на срок до 15 суток, на юридических лиц до 300 тыс. рублей.</w:t>
      </w:r>
      <w:proofErr w:type="gramEnd"/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В случае обнаружения незаконных посевов и очагов произрастания, дикорастущих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растений необходимо незамедлительно информировать органы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Следует обратить внимание, что помимо очевидно содержащего наркотическое вещество растения как конопля, содержат запрещенные вещества такие растения как голубой лотос, мимоза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хостилис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, роза гавайская. В </w:t>
      </w:r>
      <w:proofErr w:type="gramStart"/>
      <w:r w:rsidRPr="00EC5B7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C5B78">
        <w:rPr>
          <w:rFonts w:ascii="Times New Roman" w:hAnsi="Times New Roman" w:cs="Times New Roman"/>
          <w:sz w:val="24"/>
          <w:szCs w:val="24"/>
        </w:rPr>
        <w:t xml:space="preserve"> с чем их наличие, например, на дачном участке, может привести к применению мер административной или уголовной ответственности.</w:t>
      </w: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Заместитель прокурора</w:t>
      </w: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Чановского района</w:t>
      </w: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А.Е.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Островерхова</w:t>
      </w:r>
      <w:proofErr w:type="spellEnd"/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Прокуратура разъясняет</w:t>
      </w:r>
    </w:p>
    <w:p w:rsidR="00EC5B78" w:rsidRPr="00EC5B78" w:rsidRDefault="00EC5B78" w:rsidP="00EC5B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78">
        <w:rPr>
          <w:rFonts w:ascii="Times New Roman" w:hAnsi="Times New Roman" w:cs="Times New Roman"/>
          <w:b/>
          <w:sz w:val="24"/>
          <w:szCs w:val="24"/>
        </w:rPr>
        <w:t>АДМИНИСТРАТИВНАЯ ОТВЕСТВЕННОСТЬ</w:t>
      </w:r>
    </w:p>
    <w:p w:rsidR="00EC5B78" w:rsidRPr="00EC5B78" w:rsidRDefault="00EC5B78" w:rsidP="00EC5B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B78">
        <w:rPr>
          <w:rFonts w:ascii="Times New Roman" w:hAnsi="Times New Roman" w:cs="Times New Roman"/>
          <w:b/>
          <w:sz w:val="24"/>
          <w:szCs w:val="24"/>
        </w:rPr>
        <w:t>за несоблюдение требований в сфере отходов производства и потребления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Федеральным законом от 17.06.2019 № 141-ФЗ внесены изменения в Кодекс Российской Федерации об административных правонарушениях.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Законодателем введена статья 6.35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EC5B78">
        <w:rPr>
          <w:rFonts w:ascii="Times New Roman" w:hAnsi="Times New Roman" w:cs="Times New Roman"/>
          <w:sz w:val="24"/>
          <w:szCs w:val="24"/>
        </w:rPr>
        <w:t xml:space="preserve"> РФ, предусматривающая административную ответственность за несоблюдение санитарно-эпидемиологических требований к сбору, накоплению, транспортированию, обработке, утилизации или обезвреживанию отходов производства и потребления.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B78">
        <w:rPr>
          <w:rFonts w:ascii="Times New Roman" w:hAnsi="Times New Roman" w:cs="Times New Roman"/>
          <w:sz w:val="24"/>
          <w:szCs w:val="24"/>
        </w:rPr>
        <w:t>Нарушение указанных требований влечет наложение административного штрафа на граждан в размере от двух тысяч до трех тысяч рублей; на должностных лиц - от тридцати тысяч до сорока тысяч рублей; на лиц, осуществляющих предпринимательскую деятельность без образования юридического лица, - от пятидесяти тысяч до шестидесяти тысяч рублей или административное приостановление деятельности на срок до девяноста суток;</w:t>
      </w:r>
      <w:proofErr w:type="gramEnd"/>
      <w:r w:rsidRPr="00EC5B78">
        <w:rPr>
          <w:rFonts w:ascii="Times New Roman" w:hAnsi="Times New Roman" w:cs="Times New Roman"/>
          <w:sz w:val="24"/>
          <w:szCs w:val="24"/>
        </w:rPr>
        <w:t xml:space="preserve"> на юридических лиц - от двухсот пятидесяти тысяч до трехсот пятидесяти тысяч рублей или административное приостановление деятельности на срок до девяноста суток.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За повторное нарушение юридическому лицу грозит ответственность вплоть до административного приостановления деятельности на срок до девяноста суток.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Изменения вступили в силу с 17 июня 2019 года.</w:t>
      </w:r>
    </w:p>
    <w:p w:rsidR="00EC5B78" w:rsidRPr="00EC5B78" w:rsidRDefault="00EC5B78" w:rsidP="00EC5B7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>Помощник прокурора Чановского района</w:t>
      </w:r>
    </w:p>
    <w:p w:rsidR="00EC5B78" w:rsidRPr="00EC5B78" w:rsidRDefault="00EC5B78" w:rsidP="00EC5B7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C5B78">
        <w:rPr>
          <w:rFonts w:ascii="Times New Roman" w:hAnsi="Times New Roman" w:cs="Times New Roman"/>
          <w:sz w:val="24"/>
          <w:szCs w:val="24"/>
        </w:rPr>
        <w:t xml:space="preserve">юрист 1 класса О.Е. </w:t>
      </w:r>
      <w:proofErr w:type="spellStart"/>
      <w:r w:rsidRPr="00EC5B78"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</w:p>
    <w:p w:rsidR="00AD07F7" w:rsidRDefault="00AD07F7"/>
    <w:sectPr w:rsidR="00AD07F7" w:rsidSect="00AD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B78"/>
    <w:rsid w:val="00AD07F7"/>
    <w:rsid w:val="00EC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C5B78"/>
    <w:rPr>
      <w:rFonts w:ascii="Calibri" w:hAnsi="Calibri" w:cs="Arial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EC5B78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2660</Words>
  <Characters>15165</Characters>
  <Application>Microsoft Office Word</Application>
  <DocSecurity>0</DocSecurity>
  <Lines>126</Lines>
  <Paragraphs>35</Paragraphs>
  <ScaleCrop>false</ScaleCrop>
  <Company/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2024-02-29T02:36:00Z</dcterms:created>
  <dcterms:modified xsi:type="dcterms:W3CDTF">2024-02-29T02:36:00Z</dcterms:modified>
</cp:coreProperties>
</file>